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64" w:type="dxa"/>
        <w:tblLayout w:type="fixed"/>
        <w:tblCellMar>
          <w:left w:w="0" w:type="dxa"/>
          <w:right w:w="0" w:type="dxa"/>
        </w:tblCellMar>
        <w:tblLook w:val="0000" w:firstRow="0" w:lastRow="0" w:firstColumn="0" w:lastColumn="0" w:noHBand="0" w:noVBand="0"/>
      </w:tblPr>
      <w:tblGrid>
        <w:gridCol w:w="3261"/>
        <w:gridCol w:w="141"/>
        <w:gridCol w:w="5262"/>
      </w:tblGrid>
      <w:tr w:rsidR="0065061A" w:rsidRPr="008B3C9E" w:rsidTr="00C70BE3">
        <w:trPr>
          <w:trHeight w:val="1440"/>
        </w:trPr>
        <w:tc>
          <w:tcPr>
            <w:tcW w:w="3261" w:type="dxa"/>
            <w:tcBorders>
              <w:top w:val="nil"/>
              <w:left w:val="nil"/>
              <w:bottom w:val="nil"/>
              <w:right w:val="nil"/>
            </w:tcBorders>
          </w:tcPr>
          <w:p w:rsidR="0065061A" w:rsidRPr="008B3C9E" w:rsidRDefault="0065061A" w:rsidP="00C70BE3">
            <w:pPr>
              <w:pStyle w:val="ZCom"/>
              <w:rPr>
                <w:sz w:val="20"/>
              </w:rPr>
            </w:pPr>
          </w:p>
        </w:tc>
        <w:tc>
          <w:tcPr>
            <w:tcW w:w="141" w:type="dxa"/>
            <w:tcBorders>
              <w:top w:val="nil"/>
              <w:left w:val="nil"/>
              <w:bottom w:val="nil"/>
              <w:right w:val="nil"/>
            </w:tcBorders>
          </w:tcPr>
          <w:p w:rsidR="0065061A" w:rsidRPr="008B3C9E" w:rsidRDefault="0065061A" w:rsidP="00C70BE3">
            <w:pPr>
              <w:pStyle w:val="ZCom"/>
            </w:pPr>
          </w:p>
        </w:tc>
        <w:tc>
          <w:tcPr>
            <w:tcW w:w="5262" w:type="dxa"/>
            <w:tcBorders>
              <w:top w:val="nil"/>
              <w:left w:val="nil"/>
              <w:bottom w:val="nil"/>
              <w:right w:val="nil"/>
            </w:tcBorders>
          </w:tcPr>
          <w:p w:rsidR="0065061A" w:rsidRPr="008B3C9E" w:rsidRDefault="0065061A" w:rsidP="00C70BE3">
            <w:pPr>
              <w:pStyle w:val="ZDGName"/>
            </w:pPr>
          </w:p>
        </w:tc>
      </w:tr>
    </w:tbl>
    <w:p w:rsidR="008441E4" w:rsidRPr="000124D2" w:rsidRDefault="000124D2" w:rsidP="008441E4">
      <w:pPr>
        <w:pStyle w:val="NoteHead"/>
      </w:pPr>
      <w:r w:rsidRPr="000124D2">
        <w:t xml:space="preserve">note </w:t>
      </w:r>
      <w:r w:rsidR="00740B0F">
        <w:t>agree</w:t>
      </w:r>
      <w:r w:rsidR="0000710F">
        <w:t>d</w:t>
      </w:r>
      <w:r w:rsidR="00740B0F">
        <w:t xml:space="preserve"> by</w:t>
      </w:r>
      <w:r w:rsidRPr="000124D2">
        <w:t xml:space="preserve"> Member States' Competent Authorities for Biocidal Products</w:t>
      </w:r>
      <w:r w:rsidRPr="000124D2" w:rsidDel="000124D2">
        <w:t xml:space="preserve"> </w:t>
      </w:r>
    </w:p>
    <w:p w:rsidR="00704EB2" w:rsidRDefault="00D60B2A" w:rsidP="00704EB2">
      <w:pPr>
        <w:pBdr>
          <w:top w:val="single" w:sz="4" w:space="1" w:color="auto"/>
          <w:left w:val="single" w:sz="4" w:space="4" w:color="auto"/>
          <w:bottom w:val="single" w:sz="4" w:space="1" w:color="auto"/>
          <w:right w:val="single" w:sz="4" w:space="4" w:color="auto"/>
        </w:pBdr>
        <w:autoSpaceDE w:val="0"/>
        <w:autoSpaceDN w:val="0"/>
        <w:adjustRightInd w:val="0"/>
        <w:spacing w:after="0"/>
        <w:rPr>
          <w:i/>
          <w:iCs/>
          <w:sz w:val="28"/>
          <w:szCs w:val="28"/>
        </w:rPr>
      </w:pPr>
      <w:r w:rsidRPr="00B05C96">
        <w:rPr>
          <w:i/>
        </w:rPr>
        <w:t>This document is drafted in the interest of consistency of the implementation of Regulation (EU) No 528/2012 and with the aim of finding an agreement between Member States' Competent Authorities for biocidal products on a harmonised approach. Please note, however, it does not represent the official position of the Commission and that Member States are not legally obliged to follow the approach set out in this document, since only the Court of Justice of the European Union can give authoritative interpretations on the contents of Union law.</w:t>
      </w:r>
    </w:p>
    <w:p w:rsidR="00704EB2" w:rsidRDefault="00704EB2" w:rsidP="00704EB2"/>
    <w:p w:rsidR="00704EB2" w:rsidRPr="00704EB2" w:rsidRDefault="00704EB2" w:rsidP="00704EB2"/>
    <w:p w:rsidR="004B4DBE" w:rsidRPr="008B3C9E" w:rsidRDefault="004B4DBE" w:rsidP="008441E4">
      <w:pPr>
        <w:pStyle w:val="Subject"/>
        <w:jc w:val="both"/>
      </w:pPr>
      <w:r w:rsidRPr="008B3C9E">
        <w:t>Subject:</w:t>
      </w:r>
      <w:r w:rsidRPr="008B3C9E">
        <w:tab/>
      </w:r>
      <w:r w:rsidR="001C1F6D">
        <w:t>T</w:t>
      </w:r>
      <w:r w:rsidR="000124D2">
        <w:t xml:space="preserve">he implementation of scientific criteria for the determination of endocrine-disrupting properties in the context of biocidal product authorisation </w:t>
      </w:r>
    </w:p>
    <w:p w:rsidR="00F650D6" w:rsidRPr="008B3C9E" w:rsidRDefault="009136E4" w:rsidP="007F42D4">
      <w:pPr>
        <w:rPr>
          <w:b/>
        </w:rPr>
      </w:pPr>
      <w:r w:rsidRPr="008B3C9E">
        <w:rPr>
          <w:b/>
        </w:rPr>
        <w:t xml:space="preserve">1.- </w:t>
      </w:r>
      <w:r w:rsidR="001035B6" w:rsidRPr="008B3C9E">
        <w:rPr>
          <w:b/>
        </w:rPr>
        <w:t>Background and p</w:t>
      </w:r>
      <w:r w:rsidR="00F650D6" w:rsidRPr="008B3C9E">
        <w:rPr>
          <w:b/>
        </w:rPr>
        <w:t xml:space="preserve">urpose of the </w:t>
      </w:r>
      <w:r w:rsidR="0066504B" w:rsidRPr="008B3C9E">
        <w:rPr>
          <w:b/>
        </w:rPr>
        <w:t>document</w:t>
      </w:r>
    </w:p>
    <w:p w:rsidR="00B33601" w:rsidRPr="008B3C9E" w:rsidRDefault="005B5CFC" w:rsidP="00957F4B">
      <w:pPr>
        <w:pStyle w:val="ListNumber"/>
      </w:pPr>
      <w:r w:rsidRPr="008B3C9E">
        <w:t>The</w:t>
      </w:r>
      <w:r w:rsidR="0049538F">
        <w:t xml:space="preserve"> Commission Delegated Regulation (EU) 2017/2100</w:t>
      </w:r>
      <w:r w:rsidRPr="008B3C9E">
        <w:rPr>
          <w:rStyle w:val="FootnoteReference"/>
        </w:rPr>
        <w:footnoteReference w:id="2"/>
      </w:r>
      <w:r w:rsidRPr="008B3C9E">
        <w:t xml:space="preserve"> specifying the scientific criteria for the determination of endocrine-disrupting properties (ED criteria) under </w:t>
      </w:r>
      <w:r w:rsidR="00957F4B" w:rsidRPr="008B3C9E">
        <w:t>Regulation (EU) No 528/2012</w:t>
      </w:r>
      <w:r w:rsidR="007C01E2" w:rsidRPr="008B3C9E">
        <w:rPr>
          <w:rStyle w:val="FootnoteReference"/>
        </w:rPr>
        <w:footnoteReference w:id="3"/>
      </w:r>
      <w:r w:rsidRPr="008B3C9E">
        <w:t xml:space="preserve"> (BPR) </w:t>
      </w:r>
      <w:r w:rsidR="00FD44B4" w:rsidRPr="00B160DE">
        <w:t>establishes</w:t>
      </w:r>
      <w:r w:rsidR="00FD44B4" w:rsidRPr="007F50C1">
        <w:t xml:space="preserve"> </w:t>
      </w:r>
      <w:r w:rsidRPr="00B160DE">
        <w:t xml:space="preserve">that the </w:t>
      </w:r>
      <w:r w:rsidR="00B33601" w:rsidRPr="00B160DE">
        <w:t xml:space="preserve">ED </w:t>
      </w:r>
      <w:r w:rsidRPr="00B160DE">
        <w:t xml:space="preserve">criteria </w:t>
      </w:r>
      <w:r w:rsidR="00A9338D" w:rsidRPr="00B160DE">
        <w:t>become</w:t>
      </w:r>
      <w:r w:rsidRPr="00B160DE">
        <w:t xml:space="preserve"> applicable </w:t>
      </w:r>
      <w:r w:rsidR="00FD44B4" w:rsidRPr="00B160DE">
        <w:t>by 7 June 2018</w:t>
      </w:r>
      <w:r w:rsidRPr="007F50C1">
        <w:t>.</w:t>
      </w:r>
    </w:p>
    <w:p w:rsidR="005B5CFC" w:rsidRDefault="005B5CFC" w:rsidP="005B5CFC">
      <w:pPr>
        <w:pStyle w:val="ListNumber"/>
      </w:pPr>
      <w:r w:rsidRPr="008B3C9E">
        <w:t xml:space="preserve">Therefore, </w:t>
      </w:r>
      <w:r w:rsidR="00AB0E6C">
        <w:t>the c</w:t>
      </w:r>
      <w:r w:rsidRPr="008B3C9E">
        <w:t xml:space="preserve">ompetent </w:t>
      </w:r>
      <w:r w:rsidR="00AB0E6C">
        <w:t>a</w:t>
      </w:r>
      <w:r w:rsidRPr="008B3C9E">
        <w:t xml:space="preserve">uthorities (CAs) of Member States (MSs), </w:t>
      </w:r>
      <w:r w:rsidR="00AB0E6C">
        <w:t>the</w:t>
      </w:r>
      <w:r w:rsidR="00712D01">
        <w:t xml:space="preserve"> European Chemicals Agency ('ECHA')</w:t>
      </w:r>
      <w:r w:rsidRPr="008B3C9E">
        <w:t xml:space="preserve"> applicants and the Commission</w:t>
      </w:r>
      <w:r w:rsidR="00D3045C">
        <w:t xml:space="preserve"> services</w:t>
      </w:r>
      <w:r w:rsidRPr="008B3C9E">
        <w:t xml:space="preserve"> </w:t>
      </w:r>
      <w:r w:rsidR="00AB0E6C">
        <w:t xml:space="preserve">need to be </w:t>
      </w:r>
      <w:r w:rsidRPr="008B3C9E">
        <w:t xml:space="preserve">ready to take appropriate action when the </w:t>
      </w:r>
      <w:r w:rsidR="0049538F">
        <w:t xml:space="preserve">Regulation (EU) 2017/2100 </w:t>
      </w:r>
      <w:r w:rsidRPr="008B3C9E">
        <w:t xml:space="preserve">becomes applicable.  </w:t>
      </w:r>
    </w:p>
    <w:p w:rsidR="00EC6AFB" w:rsidRDefault="00636397" w:rsidP="00EC6AFB">
      <w:pPr>
        <w:pStyle w:val="ListNumber"/>
      </w:pPr>
      <w:r>
        <w:t>It is noted that Article</w:t>
      </w:r>
      <w:r w:rsidR="006E4861">
        <w:t xml:space="preserve">s 24 and 40 </w:t>
      </w:r>
      <w:r>
        <w:t xml:space="preserve">of the BPR </w:t>
      </w:r>
      <w:r w:rsidR="003F1BB3">
        <w:t>encourage</w:t>
      </w:r>
      <w:r w:rsidR="006E4861">
        <w:t xml:space="preserve"> </w:t>
      </w:r>
      <w:r>
        <w:t xml:space="preserve">the Commission to draw up technical guidance notes to facilitate the implementation of the Chapter </w:t>
      </w:r>
      <w:r w:rsidR="006E4861">
        <w:t>IV and Chapter VII</w:t>
      </w:r>
      <w:r>
        <w:t>.</w:t>
      </w:r>
      <w:r w:rsidRPr="00A02CF9">
        <w:t xml:space="preserve"> </w:t>
      </w:r>
      <w:r>
        <w:t>Following the agreement of the Member States’ competent authorities it could be considered whether there is a need to draw up technical guidance notes.</w:t>
      </w:r>
      <w:r w:rsidR="00EC6AFB" w:rsidRPr="008B3C9E">
        <w:t xml:space="preserve">.  </w:t>
      </w:r>
    </w:p>
    <w:p w:rsidR="00B75689" w:rsidRDefault="005B5CFC" w:rsidP="00844980">
      <w:pPr>
        <w:pStyle w:val="ListNumber"/>
      </w:pPr>
      <w:r w:rsidRPr="008B3C9E">
        <w:lastRenderedPageBreak/>
        <w:t xml:space="preserve">This </w:t>
      </w:r>
      <w:r w:rsidR="00EE0F57">
        <w:t xml:space="preserve">draft </w:t>
      </w:r>
      <w:r w:rsidR="00FB20D9" w:rsidRPr="008B3C9E">
        <w:t>note</w:t>
      </w:r>
      <w:r w:rsidRPr="008B3C9E">
        <w:t xml:space="preserve"> </w:t>
      </w:r>
      <w:r w:rsidR="00A9338D">
        <w:t xml:space="preserve">presents </w:t>
      </w:r>
      <w:r w:rsidR="00EE3DC1" w:rsidRPr="008B3C9E">
        <w:t xml:space="preserve">a proposal for the practical implementation </w:t>
      </w:r>
      <w:r w:rsidRPr="008B3C9E">
        <w:t xml:space="preserve">of the ED criteria in </w:t>
      </w:r>
      <w:r w:rsidR="00EF54FC" w:rsidRPr="008B3C9E">
        <w:t>the context of product</w:t>
      </w:r>
      <w:r w:rsidRPr="008B3C9E">
        <w:t xml:space="preserve"> authorisation</w:t>
      </w:r>
      <w:r w:rsidR="001E765B" w:rsidRPr="008B3C9E">
        <w:t>. It proposes a specific way forward</w:t>
      </w:r>
      <w:r w:rsidR="00AB0E6C">
        <w:t>,</w:t>
      </w:r>
      <w:r w:rsidR="001E765B" w:rsidRPr="008B3C9E">
        <w:t xml:space="preserve"> depending on whether the applications </w:t>
      </w:r>
      <w:r w:rsidR="00964D6F" w:rsidRPr="008B3C9E">
        <w:t xml:space="preserve">for authorisation </w:t>
      </w:r>
      <w:r w:rsidR="00EE3DC1" w:rsidRPr="008B3C9E">
        <w:t xml:space="preserve">are </w:t>
      </w:r>
      <w:r w:rsidR="001E765B" w:rsidRPr="008B3C9E">
        <w:t xml:space="preserve">still </w:t>
      </w:r>
      <w:r w:rsidRPr="008B3C9E">
        <w:t xml:space="preserve">under </w:t>
      </w:r>
      <w:r w:rsidR="00964D6F" w:rsidRPr="008B3C9E">
        <w:t xml:space="preserve">evaluation </w:t>
      </w:r>
      <w:r w:rsidRPr="008B3C9E">
        <w:t xml:space="preserve">by the evaluating body referred to in </w:t>
      </w:r>
      <w:r w:rsidR="0087715A" w:rsidRPr="008B3C9E">
        <w:t xml:space="preserve">Annex </w:t>
      </w:r>
      <w:r w:rsidRPr="008B3C9E">
        <w:t>VI to the BPR</w:t>
      </w:r>
      <w:r w:rsidR="007807AC" w:rsidRPr="008B3C9E">
        <w:t>,</w:t>
      </w:r>
      <w:r w:rsidR="000D1636" w:rsidRPr="008B3C9E">
        <w:t xml:space="preserve"> </w:t>
      </w:r>
      <w:r w:rsidR="001E765B" w:rsidRPr="008B3C9E">
        <w:t xml:space="preserve">or </w:t>
      </w:r>
      <w:r w:rsidR="00EE0F57">
        <w:t xml:space="preserve">whether they </w:t>
      </w:r>
      <w:r w:rsidR="00AB0E6C">
        <w:t>are in</w:t>
      </w:r>
      <w:r w:rsidR="001E765B" w:rsidRPr="008B3C9E">
        <w:t xml:space="preserve"> a later stage </w:t>
      </w:r>
      <w:r w:rsidR="00EE0F57">
        <w:t xml:space="preserve">of the procedure </w:t>
      </w:r>
      <w:r w:rsidR="004D2219">
        <w:t xml:space="preserve">(but </w:t>
      </w:r>
      <w:r w:rsidR="001E765B" w:rsidRPr="008B3C9E">
        <w:t>before the product authorisation is granted</w:t>
      </w:r>
      <w:r w:rsidR="004D2219">
        <w:t>)</w:t>
      </w:r>
      <w:r w:rsidRPr="008B3C9E">
        <w:t xml:space="preserve">. </w:t>
      </w:r>
      <w:r w:rsidR="00EF54FC" w:rsidRPr="008B3C9E">
        <w:t xml:space="preserve">It also addresses how to deal with already authorised </w:t>
      </w:r>
      <w:r w:rsidR="002621C9" w:rsidRPr="008B3C9E">
        <w:t xml:space="preserve">biocidal </w:t>
      </w:r>
      <w:r w:rsidR="00EF54FC" w:rsidRPr="008B3C9E">
        <w:t>products.</w:t>
      </w:r>
      <w:r w:rsidR="00B75689">
        <w:t xml:space="preserve"> </w:t>
      </w:r>
    </w:p>
    <w:p w:rsidR="00AE7979" w:rsidRPr="008B3C9E" w:rsidRDefault="00AE7979" w:rsidP="00AE7979">
      <w:pPr>
        <w:pStyle w:val="ListNumber"/>
        <w:numPr>
          <w:ilvl w:val="0"/>
          <w:numId w:val="0"/>
        </w:numPr>
        <w:rPr>
          <w:b/>
        </w:rPr>
      </w:pPr>
      <w:r w:rsidRPr="008B3C9E">
        <w:rPr>
          <w:b/>
        </w:rPr>
        <w:t xml:space="preserve">2.- </w:t>
      </w:r>
      <w:r w:rsidR="001E7B53" w:rsidRPr="008B3C9E">
        <w:rPr>
          <w:b/>
        </w:rPr>
        <w:t>Analysis of the r</w:t>
      </w:r>
      <w:r w:rsidRPr="008B3C9E">
        <w:rPr>
          <w:b/>
        </w:rPr>
        <w:t xml:space="preserve">elevant provisions in </w:t>
      </w:r>
      <w:r w:rsidR="00D50342" w:rsidRPr="008B3C9E">
        <w:rPr>
          <w:b/>
        </w:rPr>
        <w:t xml:space="preserve">the </w:t>
      </w:r>
      <w:r w:rsidR="001E7B53" w:rsidRPr="008B3C9E">
        <w:rPr>
          <w:b/>
        </w:rPr>
        <w:t>BPR</w:t>
      </w:r>
      <w:r w:rsidR="00D50342" w:rsidRPr="008B3C9E">
        <w:rPr>
          <w:b/>
        </w:rPr>
        <w:t xml:space="preserve"> </w:t>
      </w:r>
      <w:r w:rsidR="00037479" w:rsidRPr="008B3C9E">
        <w:rPr>
          <w:b/>
        </w:rPr>
        <w:t xml:space="preserve">and </w:t>
      </w:r>
      <w:r w:rsidR="00AB0E6C">
        <w:rPr>
          <w:b/>
        </w:rPr>
        <w:t xml:space="preserve">the </w:t>
      </w:r>
      <w:r w:rsidR="00B33601" w:rsidRPr="008B3C9E">
        <w:rPr>
          <w:b/>
        </w:rPr>
        <w:t xml:space="preserve">proposed </w:t>
      </w:r>
      <w:r w:rsidR="00037479" w:rsidRPr="008B3C9E">
        <w:rPr>
          <w:b/>
        </w:rPr>
        <w:t>way forward</w:t>
      </w:r>
    </w:p>
    <w:p w:rsidR="00F12E4A" w:rsidRPr="008B3C9E" w:rsidRDefault="00F12E4A" w:rsidP="00AE7979">
      <w:pPr>
        <w:pStyle w:val="ListNumber"/>
        <w:numPr>
          <w:ilvl w:val="0"/>
          <w:numId w:val="0"/>
        </w:numPr>
        <w:rPr>
          <w:b/>
          <w:i/>
        </w:rPr>
      </w:pPr>
      <w:r w:rsidRPr="008B3C9E">
        <w:rPr>
          <w:b/>
          <w:i/>
        </w:rPr>
        <w:t>2.1</w:t>
      </w:r>
      <w:r w:rsidRPr="008B3C9E">
        <w:rPr>
          <w:i/>
        </w:rPr>
        <w:t xml:space="preserve"> </w:t>
      </w:r>
      <w:r w:rsidRPr="008B3C9E">
        <w:rPr>
          <w:b/>
          <w:i/>
        </w:rPr>
        <w:t xml:space="preserve">Applications that are still under </w:t>
      </w:r>
      <w:r w:rsidR="00F14E57" w:rsidRPr="008B3C9E">
        <w:rPr>
          <w:b/>
          <w:i/>
        </w:rPr>
        <w:t>evaluation</w:t>
      </w:r>
      <w:r w:rsidRPr="008B3C9E">
        <w:rPr>
          <w:b/>
          <w:i/>
        </w:rPr>
        <w:t xml:space="preserve"> by the evaluating body</w:t>
      </w:r>
      <w:r w:rsidR="00EB4C82" w:rsidRPr="008B3C9E">
        <w:rPr>
          <w:b/>
          <w:i/>
        </w:rPr>
        <w:t xml:space="preserve"> when the ED criteria become applicable</w:t>
      </w:r>
    </w:p>
    <w:p w:rsidR="00B63DE1" w:rsidRDefault="00B20C23" w:rsidP="004949D3">
      <w:pPr>
        <w:pStyle w:val="ListNumber"/>
      </w:pPr>
      <w:r w:rsidRPr="008B3C9E">
        <w:t xml:space="preserve">The </w:t>
      </w:r>
      <w:r w:rsidR="00627ED9" w:rsidRPr="008B3C9E">
        <w:t>evaluation</w:t>
      </w:r>
      <w:r w:rsidRPr="008B3C9E">
        <w:t xml:space="preserve"> of applications for product authorisation is a critical step in </w:t>
      </w:r>
      <w:r w:rsidR="007807AC" w:rsidRPr="008B3C9E">
        <w:t>confirm</w:t>
      </w:r>
      <w:r w:rsidR="005F7F52">
        <w:t>ing</w:t>
      </w:r>
      <w:r w:rsidR="007807AC" w:rsidRPr="008B3C9E">
        <w:t xml:space="preserve"> </w:t>
      </w:r>
      <w:r w:rsidRPr="008B3C9E">
        <w:t xml:space="preserve">that </w:t>
      </w:r>
      <w:r w:rsidR="00F12E4A" w:rsidRPr="008B3C9E">
        <w:t xml:space="preserve">the conditions in Article 19 </w:t>
      </w:r>
      <w:r w:rsidR="00F12E4A" w:rsidRPr="000E6E49">
        <w:t>or 25</w:t>
      </w:r>
      <w:r w:rsidR="00F12E4A" w:rsidRPr="008B3C9E">
        <w:t xml:space="preserve"> of the BPR </w:t>
      </w:r>
      <w:r w:rsidR="005F7F52">
        <w:t xml:space="preserve">have been </w:t>
      </w:r>
      <w:r w:rsidR="00F12E4A" w:rsidRPr="008B3C9E">
        <w:t>met.</w:t>
      </w:r>
      <w:r w:rsidR="00B63DE1">
        <w:t xml:space="preserve"> </w:t>
      </w:r>
    </w:p>
    <w:p w:rsidR="007603E0" w:rsidRPr="008B3C9E" w:rsidRDefault="00F12E4A" w:rsidP="004949D3">
      <w:pPr>
        <w:pStyle w:val="ListNumber"/>
      </w:pPr>
      <w:r w:rsidRPr="008B3C9E">
        <w:t xml:space="preserve"> It </w:t>
      </w:r>
      <w:r w:rsidR="004D2219">
        <w:t>should</w:t>
      </w:r>
      <w:r w:rsidRPr="008B3C9E">
        <w:t xml:space="preserve"> be noted though that</w:t>
      </w:r>
      <w:r w:rsidR="00B20C23" w:rsidRPr="008B3C9E">
        <w:t xml:space="preserve"> </w:t>
      </w:r>
      <w:r w:rsidR="004949D3" w:rsidRPr="008B3C9E">
        <w:t>Articles 26(</w:t>
      </w:r>
      <w:r w:rsidR="000E5BC2" w:rsidRPr="008B3C9E">
        <w:t>3</w:t>
      </w:r>
      <w:r w:rsidR="004949D3" w:rsidRPr="008B3C9E">
        <w:t>), 30(2)</w:t>
      </w:r>
      <w:r w:rsidR="0023728B" w:rsidRPr="008B3C9E">
        <w:t>, 34(4)</w:t>
      </w:r>
      <w:r w:rsidR="0023728B" w:rsidRPr="008B3C9E">
        <w:rPr>
          <w:rStyle w:val="FootnoteReference"/>
        </w:rPr>
        <w:footnoteReference w:id="4"/>
      </w:r>
      <w:r w:rsidR="004949D3" w:rsidRPr="008B3C9E">
        <w:t xml:space="preserve"> and 44(</w:t>
      </w:r>
      <w:r w:rsidR="0023728B" w:rsidRPr="008B3C9E">
        <w:t>1</w:t>
      </w:r>
      <w:r w:rsidR="004949D3" w:rsidRPr="008B3C9E">
        <w:t>)</w:t>
      </w:r>
      <w:r w:rsidR="0023728B" w:rsidRPr="008B3C9E">
        <w:rPr>
          <w:rStyle w:val="FootnoteReference"/>
        </w:rPr>
        <w:footnoteReference w:id="5"/>
      </w:r>
      <w:r w:rsidR="004949D3" w:rsidRPr="008B3C9E">
        <w:t xml:space="preserve"> of the BPR</w:t>
      </w:r>
      <w:r w:rsidR="000E5BC2" w:rsidRPr="008B3C9E">
        <w:t xml:space="preserve"> establish the legal deadlines </w:t>
      </w:r>
      <w:r w:rsidR="004D2219">
        <w:t>by</w:t>
      </w:r>
      <w:r w:rsidR="005F7F52">
        <w:t xml:space="preserve"> which </w:t>
      </w:r>
      <w:r w:rsidR="000E5BC2" w:rsidRPr="008B3C9E">
        <w:t>the evaluating body</w:t>
      </w:r>
      <w:r w:rsidR="007807AC" w:rsidRPr="008B3C9E">
        <w:rPr>
          <w:rStyle w:val="FootnoteReference"/>
        </w:rPr>
        <w:footnoteReference w:id="6"/>
      </w:r>
      <w:r w:rsidR="000E5BC2" w:rsidRPr="008B3C9E">
        <w:t xml:space="preserve"> </w:t>
      </w:r>
      <w:r w:rsidR="005F7F52">
        <w:t xml:space="preserve">must </w:t>
      </w:r>
      <w:r w:rsidR="000E5BC2" w:rsidRPr="008B3C9E">
        <w:t xml:space="preserve">conclude </w:t>
      </w:r>
      <w:r w:rsidR="004D2219">
        <w:t xml:space="preserve">its </w:t>
      </w:r>
      <w:r w:rsidR="000E5BC2" w:rsidRPr="008B3C9E">
        <w:t>assessment of an application for product authorisation.</w:t>
      </w:r>
      <w:r w:rsidR="00451E75">
        <w:t xml:space="preserve"> Moreover, Article </w:t>
      </w:r>
      <w:r w:rsidR="00EE0F57">
        <w:t>89</w:t>
      </w:r>
      <w:r w:rsidR="00451E75">
        <w:t>(3) provides that</w:t>
      </w:r>
      <w:r w:rsidR="00F576DA">
        <w:t xml:space="preserve">, following </w:t>
      </w:r>
      <w:r w:rsidR="00EE0F57">
        <w:t xml:space="preserve">the </w:t>
      </w:r>
      <w:r w:rsidR="00F576DA">
        <w:t>approv</w:t>
      </w:r>
      <w:r w:rsidR="00EE0F57">
        <w:t xml:space="preserve">al of </w:t>
      </w:r>
      <w:r w:rsidR="00F576DA">
        <w:t>a particular active substance, Member States shall ensure that authorisations for biocidal products are granted, modified or cancelled within three years of the date of approval.</w:t>
      </w:r>
    </w:p>
    <w:p w:rsidR="004949D3" w:rsidRPr="008B3C9E" w:rsidRDefault="00627ED9" w:rsidP="007603E0">
      <w:pPr>
        <w:pStyle w:val="ListNumber"/>
        <w:numPr>
          <w:ilvl w:val="0"/>
          <w:numId w:val="0"/>
        </w:numPr>
        <w:ind w:left="709"/>
      </w:pPr>
      <w:r w:rsidRPr="008B3C9E">
        <w:t>Observing t</w:t>
      </w:r>
      <w:r w:rsidR="00F12E4A" w:rsidRPr="008B3C9E">
        <w:t>hese deadlines</w:t>
      </w:r>
      <w:r w:rsidR="00257397" w:rsidRPr="008B3C9E">
        <w:t xml:space="preserve"> ensure</w:t>
      </w:r>
      <w:r w:rsidRPr="008B3C9E">
        <w:t>s</w:t>
      </w:r>
      <w:r w:rsidR="00F12E4A" w:rsidRPr="008B3C9E">
        <w:t xml:space="preserve"> the proper functioning of </w:t>
      </w:r>
      <w:r w:rsidR="007334DD" w:rsidRPr="008B3C9E">
        <w:t xml:space="preserve">the system of </w:t>
      </w:r>
      <w:r w:rsidR="00F12E4A" w:rsidRPr="008B3C9E">
        <w:t>product authorisation, respond</w:t>
      </w:r>
      <w:r w:rsidRPr="008B3C9E">
        <w:t>s</w:t>
      </w:r>
      <w:r w:rsidR="00F12E4A" w:rsidRPr="008B3C9E">
        <w:t xml:space="preserve"> to the legitimate expectations of applicants and facilitate</w:t>
      </w:r>
      <w:r w:rsidR="005C399F">
        <w:t>s</w:t>
      </w:r>
      <w:r w:rsidR="00675B4E">
        <w:t xml:space="preserve"> </w:t>
      </w:r>
      <w:r w:rsidR="00F12E4A" w:rsidRPr="008B3C9E">
        <w:t xml:space="preserve">access to </w:t>
      </w:r>
      <w:r w:rsidR="007334DD" w:rsidRPr="008B3C9E">
        <w:t xml:space="preserve">the </w:t>
      </w:r>
      <w:r w:rsidR="00F12E4A" w:rsidRPr="008B3C9E">
        <w:t xml:space="preserve">market </w:t>
      </w:r>
      <w:r w:rsidR="00675B4E">
        <w:t xml:space="preserve">for </w:t>
      </w:r>
      <w:r w:rsidR="00F12E4A" w:rsidRPr="008B3C9E">
        <w:t>biocidal products.</w:t>
      </w:r>
      <w:r w:rsidR="00B63DE1">
        <w:t xml:space="preserve"> Therefore this note for agreement proposes an approach that would allow </w:t>
      </w:r>
      <w:r w:rsidR="00FD44B4" w:rsidRPr="000E6E49">
        <w:t xml:space="preserve">the evaluating body </w:t>
      </w:r>
      <w:r w:rsidR="00BD3499">
        <w:t xml:space="preserve">to </w:t>
      </w:r>
      <w:r w:rsidR="00FD44B4" w:rsidRPr="00B425B0">
        <w:t>observ</w:t>
      </w:r>
      <w:r w:rsidR="00BD3499">
        <w:t>e</w:t>
      </w:r>
      <w:r w:rsidR="00B63DE1">
        <w:t xml:space="preserve"> these deadlines.</w:t>
      </w:r>
    </w:p>
    <w:p w:rsidR="000B220E" w:rsidRPr="008B3C9E" w:rsidRDefault="000B220E" w:rsidP="000B220E">
      <w:pPr>
        <w:pStyle w:val="ListNumber"/>
      </w:pPr>
      <w:r w:rsidRPr="008B3C9E">
        <w:t xml:space="preserve">Paragraph 8(a) of Annex VI to the BPR establishes that </w:t>
      </w:r>
      <w:r w:rsidR="003D13AA" w:rsidRPr="008B3C9E">
        <w:t xml:space="preserve">the evaluating body </w:t>
      </w:r>
      <w:r w:rsidR="003D13AA">
        <w:t xml:space="preserve">must, </w:t>
      </w:r>
      <w:r w:rsidRPr="008B3C9E">
        <w:t>when evaluati</w:t>
      </w:r>
      <w:r w:rsidR="003D13AA">
        <w:t>ng</w:t>
      </w:r>
      <w:r w:rsidRPr="008B3C9E">
        <w:t xml:space="preserve"> a biocidal product</w:t>
      </w:r>
      <w:r w:rsidR="00B33601" w:rsidRPr="008B3C9E">
        <w:t>,</w:t>
      </w:r>
      <w:r w:rsidRPr="008B3C9E">
        <w:t xml:space="preserve"> take into consideration other relevant technical or scientific information which is reasonably available to</w:t>
      </w:r>
      <w:r w:rsidR="00CB61DE">
        <w:t xml:space="preserve"> him</w:t>
      </w:r>
      <w:r w:rsidRPr="008B3C9E">
        <w:t xml:space="preserve"> with regard to the properties of </w:t>
      </w:r>
      <w:r w:rsidR="005C399F">
        <w:t xml:space="preserve">a </w:t>
      </w:r>
      <w:r w:rsidRPr="008B3C9E">
        <w:t>biocidal product, its components, metabolites or residues.</w:t>
      </w:r>
    </w:p>
    <w:p w:rsidR="00583C18" w:rsidRPr="008B3C9E" w:rsidRDefault="00B33601" w:rsidP="00CC7590">
      <w:pPr>
        <w:pStyle w:val="ListNumber"/>
      </w:pPr>
      <w:r w:rsidRPr="008B3C9E">
        <w:t>T</w:t>
      </w:r>
      <w:r w:rsidR="00CD3AF2" w:rsidRPr="008B3C9E">
        <w:t>herefore</w:t>
      </w:r>
      <w:r w:rsidRPr="008B3C9E">
        <w:t xml:space="preserve">, as soon as the </w:t>
      </w:r>
      <w:r w:rsidR="0049538F">
        <w:t xml:space="preserve">Regulation (EU) 2017/2100 </w:t>
      </w:r>
      <w:r w:rsidRPr="008B3C9E">
        <w:t xml:space="preserve">becomes applicable, </w:t>
      </w:r>
      <w:r w:rsidR="00897CD4" w:rsidRPr="008B3C9E">
        <w:t>the evaluatin</w:t>
      </w:r>
      <w:r w:rsidR="00F12E4A" w:rsidRPr="008B3C9E">
        <w:t>g</w:t>
      </w:r>
      <w:r w:rsidR="00897CD4" w:rsidRPr="008B3C9E">
        <w:t xml:space="preserve"> body</w:t>
      </w:r>
      <w:r w:rsidR="00583C18" w:rsidRPr="008B3C9E">
        <w:t xml:space="preserve"> </w:t>
      </w:r>
      <w:r w:rsidR="003E7CF3">
        <w:t>must</w:t>
      </w:r>
      <w:r w:rsidR="00583C18" w:rsidRPr="008B3C9E">
        <w:t xml:space="preserve"> consider the ED </w:t>
      </w:r>
      <w:r w:rsidR="00EE0F57">
        <w:t>properties of a biocidal product</w:t>
      </w:r>
      <w:r w:rsidR="00EE0F57" w:rsidRPr="008B3C9E">
        <w:t xml:space="preserve"> </w:t>
      </w:r>
      <w:r w:rsidR="007334DD" w:rsidRPr="008B3C9E">
        <w:t xml:space="preserve">in </w:t>
      </w:r>
      <w:r w:rsidR="000E5BC2" w:rsidRPr="008B3C9E">
        <w:t>any</w:t>
      </w:r>
      <w:r w:rsidR="00583C18" w:rsidRPr="008B3C9E">
        <w:t xml:space="preserve"> </w:t>
      </w:r>
      <w:r w:rsidR="00EE14E7" w:rsidRPr="008B3C9E">
        <w:t xml:space="preserve">procedure </w:t>
      </w:r>
      <w:r w:rsidR="000E5BC2" w:rsidRPr="008B3C9E">
        <w:t>that is still under the evaluation phase</w:t>
      </w:r>
      <w:r w:rsidR="00583C18" w:rsidRPr="008B3C9E">
        <w:t xml:space="preserve">. This involves considering the ED criteria </w:t>
      </w:r>
      <w:r w:rsidR="00CB61DE">
        <w:t>for</w:t>
      </w:r>
      <w:r w:rsidR="00AC5959" w:rsidRPr="008B3C9E">
        <w:t xml:space="preserve"> </w:t>
      </w:r>
      <w:r w:rsidR="00583C18" w:rsidRPr="008B3C9E">
        <w:t>both:</w:t>
      </w:r>
    </w:p>
    <w:p w:rsidR="00037479" w:rsidRPr="008B3C9E" w:rsidRDefault="00917B84" w:rsidP="00C25BB5">
      <w:pPr>
        <w:pStyle w:val="ListNumberLevel2"/>
      </w:pPr>
      <w:r>
        <w:t>t</w:t>
      </w:r>
      <w:r w:rsidR="00037479" w:rsidRPr="008B3C9E">
        <w:t>he active substance</w:t>
      </w:r>
      <w:r w:rsidR="00583C18" w:rsidRPr="008B3C9E">
        <w:t>(s)</w:t>
      </w:r>
      <w:r w:rsidR="00037479" w:rsidRPr="008B3C9E">
        <w:t xml:space="preserve"> </w:t>
      </w:r>
      <w:r w:rsidR="00583C18" w:rsidRPr="008B3C9E">
        <w:t xml:space="preserve">included in the product (see section </w:t>
      </w:r>
      <w:r w:rsidR="00E90E25" w:rsidRPr="008B3C9E">
        <w:t>2</w:t>
      </w:r>
      <w:r w:rsidR="00583C18" w:rsidRPr="008B3C9E">
        <w:t>.1</w:t>
      </w:r>
      <w:r w:rsidR="00901FD2" w:rsidRPr="008B3C9E">
        <w:t>.1</w:t>
      </w:r>
      <w:r w:rsidR="00583C18" w:rsidRPr="008B3C9E">
        <w:t xml:space="preserve"> below)</w:t>
      </w:r>
      <w:r w:rsidR="003E7CF3">
        <w:t>;</w:t>
      </w:r>
      <w:r>
        <w:t xml:space="preserve"> and</w:t>
      </w:r>
    </w:p>
    <w:p w:rsidR="00583C18" w:rsidRPr="008B3C9E" w:rsidRDefault="005C399F" w:rsidP="00583C18">
      <w:pPr>
        <w:pStyle w:val="ListNumberLevel2"/>
      </w:pPr>
      <w:r>
        <w:t>t</w:t>
      </w:r>
      <w:r w:rsidR="00917B84">
        <w:t>he n</w:t>
      </w:r>
      <w:r w:rsidR="00037479" w:rsidRPr="008B3C9E">
        <w:t>on-active substances</w:t>
      </w:r>
      <w:r w:rsidR="00CB61DE">
        <w:t xml:space="preserve"> in the product </w:t>
      </w:r>
      <w:r w:rsidR="00FB20D9" w:rsidRPr="008B3C9E">
        <w:t xml:space="preserve">(so-called </w:t>
      </w:r>
      <w:r w:rsidR="008B3C9E">
        <w:t>‘</w:t>
      </w:r>
      <w:r w:rsidR="00C25BB5" w:rsidRPr="008B3C9E">
        <w:t>co-formulant</w:t>
      </w:r>
      <w:r w:rsidR="00583C18" w:rsidRPr="008B3C9E">
        <w:t>s</w:t>
      </w:r>
      <w:r w:rsidR="008B3C9E">
        <w:t>’</w:t>
      </w:r>
      <w:r w:rsidR="00FB20D9" w:rsidRPr="008B3C9E">
        <w:t>)</w:t>
      </w:r>
      <w:r w:rsidR="00437B9F" w:rsidRPr="008B3C9E">
        <w:t xml:space="preserve"> </w:t>
      </w:r>
      <w:r w:rsidR="00583C18" w:rsidRPr="008B3C9E">
        <w:t xml:space="preserve">(see section </w:t>
      </w:r>
      <w:r w:rsidR="00E90E25" w:rsidRPr="008B3C9E">
        <w:t>2</w:t>
      </w:r>
      <w:r w:rsidR="00583C18" w:rsidRPr="008B3C9E">
        <w:t>.</w:t>
      </w:r>
      <w:r w:rsidR="00901FD2" w:rsidRPr="008B3C9E">
        <w:t>1.</w:t>
      </w:r>
      <w:r w:rsidR="00583C18" w:rsidRPr="008B3C9E">
        <w:t>2 below).</w:t>
      </w:r>
    </w:p>
    <w:p w:rsidR="001274F5" w:rsidRDefault="00487ED7" w:rsidP="001274F5">
      <w:pPr>
        <w:pStyle w:val="ListNumber"/>
      </w:pPr>
      <w:r w:rsidRPr="008B3C9E">
        <w:lastRenderedPageBreak/>
        <w:t xml:space="preserve">A biocidal product </w:t>
      </w:r>
      <w:r w:rsidR="001274F5">
        <w:t>will be</w:t>
      </w:r>
      <w:r w:rsidRPr="008B3C9E">
        <w:t xml:space="preserve"> considered </w:t>
      </w:r>
      <w:r>
        <w:t xml:space="preserve">to </w:t>
      </w:r>
      <w:r w:rsidRPr="008B3C9E">
        <w:t>hav</w:t>
      </w:r>
      <w:r>
        <w:t>e</w:t>
      </w:r>
      <w:r w:rsidRPr="008B3C9E">
        <w:t xml:space="preserve"> ED properties if it contains</w:t>
      </w:r>
      <w:r w:rsidR="001274F5">
        <w:t>:</w:t>
      </w:r>
    </w:p>
    <w:p w:rsidR="001274F5" w:rsidRDefault="004D08F0" w:rsidP="005F6C49">
      <w:pPr>
        <w:pStyle w:val="ListNumberLevel2"/>
      </w:pPr>
      <w:r w:rsidRPr="008B3C9E">
        <w:t xml:space="preserve">active substance(s) and/or non-active substance(s) </w:t>
      </w:r>
      <w:r>
        <w:t>having</w:t>
      </w:r>
      <w:r w:rsidRPr="008B3C9E">
        <w:t xml:space="preserve"> ED properties</w:t>
      </w:r>
      <w:r>
        <w:t xml:space="preserve"> </w:t>
      </w:r>
      <w:r w:rsidR="001274F5">
        <w:t xml:space="preserve">on the basis of </w:t>
      </w:r>
      <w:r w:rsidR="00487ED7">
        <w:t xml:space="preserve">the scientific </w:t>
      </w:r>
      <w:r w:rsidR="00EC6AFB">
        <w:t xml:space="preserve">criteria in Regulation (EU) 2017/2100 </w:t>
      </w:r>
      <w:r w:rsidR="00487ED7">
        <w:t>and/or</w:t>
      </w:r>
      <w:r w:rsidR="001274F5">
        <w:t>,</w:t>
      </w:r>
    </w:p>
    <w:p w:rsidR="001274F5" w:rsidRDefault="004D08F0" w:rsidP="005F6C49">
      <w:pPr>
        <w:pStyle w:val="ListNumberLevel2"/>
      </w:pPr>
      <w:r w:rsidRPr="008B3C9E">
        <w:t xml:space="preserve">active substance(s) and/or non-active substance(s) </w:t>
      </w:r>
      <w:r>
        <w:t>having</w:t>
      </w:r>
      <w:r w:rsidRPr="008B3C9E">
        <w:t xml:space="preserve"> ED properties</w:t>
      </w:r>
      <w:r>
        <w:t xml:space="preserve"> </w:t>
      </w:r>
      <w:r w:rsidR="00487ED7">
        <w:t xml:space="preserve">in accordance with Article 57(f) and 59(l) of Regulation (EC) No 1907/2006, </w:t>
      </w:r>
      <w:r>
        <w:t>and/</w:t>
      </w:r>
      <w:r w:rsidR="00487ED7">
        <w:t>or</w:t>
      </w:r>
      <w:r w:rsidR="00107AF3">
        <w:t>,</w:t>
      </w:r>
    </w:p>
    <w:p w:rsidR="00487ED7" w:rsidRPr="00953A98" w:rsidRDefault="00487ED7" w:rsidP="00596661">
      <w:pPr>
        <w:pStyle w:val="ListNumberLevel2"/>
      </w:pPr>
      <w:r>
        <w:t>active substance(s) with an intended biocidal mode of action that consists of controlling target organisms via their endocrine system(s)</w:t>
      </w:r>
      <w:r w:rsidR="00E60C70">
        <w:t>.</w:t>
      </w:r>
      <w:r w:rsidR="000E6E49">
        <w:t xml:space="preserve"> Such an active substance will have </w:t>
      </w:r>
      <w:r w:rsidR="00FD44B4" w:rsidRPr="00EE436C">
        <w:t>an intended biocidal mode of action consisting of controlling target organisms via their endocrine system(s), for which the information has been submitted in the application for approval as required by point 6.5 of Annex II of the BPR, and</w:t>
      </w:r>
      <w:r w:rsidR="000E6E49" w:rsidRPr="00596661">
        <w:t xml:space="preserve"> </w:t>
      </w:r>
      <w:r w:rsidR="00FD44B4" w:rsidRPr="00596661">
        <w:t xml:space="preserve">for which </w:t>
      </w:r>
      <w:r w:rsidR="00FD44B4" w:rsidRPr="000E6E49">
        <w:t>it is showed that the i</w:t>
      </w:r>
      <w:r w:rsidR="00FD44B4" w:rsidRPr="00EE436C">
        <w:t xml:space="preserve">ntended biocidal mode of action is sufficiently effective. </w:t>
      </w:r>
    </w:p>
    <w:p w:rsidR="000E5B94" w:rsidRPr="00844980" w:rsidRDefault="000E5B94" w:rsidP="00B160DE">
      <w:pPr>
        <w:pStyle w:val="ListNumber"/>
        <w:autoSpaceDE w:val="0"/>
        <w:autoSpaceDN w:val="0"/>
        <w:adjustRightInd w:val="0"/>
        <w:spacing w:after="0"/>
      </w:pPr>
      <w:r>
        <w:t xml:space="preserve">ECHA and EFSA are developing scientific guidance to implement the scientific criteria. </w:t>
      </w:r>
      <w:r w:rsidRPr="00571636">
        <w:rPr>
          <w:szCs w:val="24"/>
          <w:lang w:eastAsia="en-GB"/>
        </w:rPr>
        <w:t>The guidanc</w:t>
      </w:r>
      <w:r>
        <w:rPr>
          <w:szCs w:val="24"/>
          <w:lang w:eastAsia="en-GB"/>
        </w:rPr>
        <w:t>e should provide guidance for applicants and r</w:t>
      </w:r>
      <w:r w:rsidRPr="00571636">
        <w:rPr>
          <w:szCs w:val="24"/>
          <w:lang w:eastAsia="en-GB"/>
        </w:rPr>
        <w:t>isk assessors of the</w:t>
      </w:r>
      <w:r w:rsidR="007F50C1">
        <w:rPr>
          <w:szCs w:val="24"/>
          <w:lang w:eastAsia="en-GB"/>
        </w:rPr>
        <w:t xml:space="preserve"> competent regulatory a</w:t>
      </w:r>
      <w:r w:rsidRPr="00571636">
        <w:rPr>
          <w:szCs w:val="24"/>
          <w:lang w:eastAsia="en-GB"/>
        </w:rPr>
        <w:t>uthorities on how to carry out the ED hazard assessment in line</w:t>
      </w:r>
      <w:r w:rsidRPr="00224FBC">
        <w:rPr>
          <w:szCs w:val="24"/>
          <w:lang w:eastAsia="en-GB"/>
        </w:rPr>
        <w:t xml:space="preserve"> with the</w:t>
      </w:r>
      <w:r w:rsidRPr="0044711C">
        <w:rPr>
          <w:szCs w:val="24"/>
          <w:lang w:eastAsia="en-GB"/>
        </w:rPr>
        <w:t xml:space="preserve"> </w:t>
      </w:r>
      <w:r w:rsidRPr="00764A19">
        <w:rPr>
          <w:szCs w:val="24"/>
          <w:lang w:eastAsia="en-GB"/>
        </w:rPr>
        <w:t>stipulations set out in the ED criteria, i.e. how to gather,</w:t>
      </w:r>
      <w:r w:rsidRPr="007D0F55">
        <w:rPr>
          <w:szCs w:val="24"/>
          <w:lang w:eastAsia="en-GB"/>
        </w:rPr>
        <w:t xml:space="preserve"> evaluate and consider all relevant information </w:t>
      </w:r>
      <w:r w:rsidRPr="00571636">
        <w:rPr>
          <w:szCs w:val="24"/>
          <w:lang w:eastAsia="en-GB"/>
        </w:rPr>
        <w:t>for the assessment, and how to apply a weight of evidence (WoE) approach in order to establish whether the ED criteria are fulfilled.</w:t>
      </w:r>
      <w:r>
        <w:rPr>
          <w:szCs w:val="24"/>
          <w:lang w:eastAsia="en-GB"/>
        </w:rPr>
        <w:t xml:space="preserve"> The evaluating body should utilise this guidance to assess the ED properties of the biocidal product.</w:t>
      </w:r>
    </w:p>
    <w:p w:rsidR="000E5B94" w:rsidRPr="000E5B94" w:rsidRDefault="000E5B94" w:rsidP="000E5B94">
      <w:pPr>
        <w:pStyle w:val="ListNumber"/>
        <w:numPr>
          <w:ilvl w:val="0"/>
          <w:numId w:val="0"/>
        </w:numPr>
        <w:autoSpaceDE w:val="0"/>
        <w:autoSpaceDN w:val="0"/>
        <w:adjustRightInd w:val="0"/>
        <w:spacing w:after="0"/>
        <w:ind w:left="709"/>
        <w:jc w:val="left"/>
      </w:pPr>
    </w:p>
    <w:p w:rsidR="00EC6AFB" w:rsidRPr="00152963" w:rsidRDefault="00D51E2C" w:rsidP="00EC6AFB">
      <w:pPr>
        <w:pStyle w:val="ListNumber"/>
      </w:pPr>
      <w:r w:rsidRPr="00152963">
        <w:t>I</w:t>
      </w:r>
      <w:r w:rsidR="00F7633A" w:rsidRPr="00152963">
        <w:t>n the product assessment report (PAR)</w:t>
      </w:r>
      <w:r w:rsidR="008560D9" w:rsidRPr="00152963">
        <w:t>,</w:t>
      </w:r>
      <w:r w:rsidR="00FD1F4F" w:rsidRPr="00152963">
        <w:t xml:space="preserve"> </w:t>
      </w:r>
      <w:r w:rsidRPr="00152963">
        <w:t xml:space="preserve">it has to be </w:t>
      </w:r>
      <w:r w:rsidR="001E011C" w:rsidRPr="00152963">
        <w:t>determined</w:t>
      </w:r>
      <w:r w:rsidRPr="00152963">
        <w:t xml:space="preserve"> </w:t>
      </w:r>
      <w:r w:rsidR="00037502" w:rsidRPr="00152963">
        <w:t xml:space="preserve">whether </w:t>
      </w:r>
      <w:r w:rsidRPr="00152963">
        <w:t>a biocidal product</w:t>
      </w:r>
      <w:r w:rsidR="00852F67" w:rsidRPr="00152963">
        <w:t xml:space="preserve"> </w:t>
      </w:r>
      <w:r w:rsidR="00037502" w:rsidRPr="00152963">
        <w:t xml:space="preserve">should </w:t>
      </w:r>
      <w:r w:rsidRPr="00152963">
        <w:t>be considered to have ED properties or not</w:t>
      </w:r>
      <w:r w:rsidR="008560D9" w:rsidRPr="00152963">
        <w:t xml:space="preserve"> according to the scientific criteria set out in Regulation (EU) 2017/2100. ECHA and EFSA are developing a guidance document for the implementation of these criteria</w:t>
      </w:r>
      <w:r w:rsidRPr="00152963">
        <w:t>.</w:t>
      </w:r>
      <w:r w:rsidR="008560D9" w:rsidRPr="00152963">
        <w:t xml:space="preserve"> Taking into account this context, the evaluating body should conclude </w:t>
      </w:r>
      <w:r w:rsidR="008560D9" w:rsidRPr="00152963">
        <w:rPr>
          <w:szCs w:val="24"/>
        </w:rPr>
        <w:t>on the basis of the information available</w:t>
      </w:r>
      <w:r w:rsidR="00EC6AFB" w:rsidRPr="00152963">
        <w:rPr>
          <w:szCs w:val="24"/>
        </w:rPr>
        <w:t xml:space="preserve"> </w:t>
      </w:r>
      <w:r w:rsidR="00EC6AFB" w:rsidRPr="00152963">
        <w:rPr>
          <w:szCs w:val="24"/>
          <w:u w:val="single"/>
        </w:rPr>
        <w:t>whether</w:t>
      </w:r>
      <w:r w:rsidR="00EC6AFB" w:rsidRPr="00152963">
        <w:rPr>
          <w:u w:val="single"/>
        </w:rPr>
        <w:t xml:space="preserve"> the biocidal product </w:t>
      </w:r>
      <w:r w:rsidR="00EC6AFB" w:rsidRPr="00152963">
        <w:rPr>
          <w:szCs w:val="24"/>
          <w:u w:val="single"/>
        </w:rPr>
        <w:t>should be considered to</w:t>
      </w:r>
      <w:r w:rsidR="00EC6AFB" w:rsidRPr="00152963">
        <w:rPr>
          <w:u w:val="single"/>
        </w:rPr>
        <w:t xml:space="preserve"> have </w:t>
      </w:r>
      <w:r w:rsidR="00EC6AFB" w:rsidRPr="00152963">
        <w:rPr>
          <w:szCs w:val="24"/>
          <w:u w:val="single"/>
        </w:rPr>
        <w:t xml:space="preserve"> </w:t>
      </w:r>
      <w:r w:rsidR="00EC6AFB" w:rsidRPr="00152963">
        <w:rPr>
          <w:u w:val="single"/>
        </w:rPr>
        <w:t xml:space="preserve">ED properties or </w:t>
      </w:r>
      <w:r w:rsidR="00EC6AFB" w:rsidRPr="00152963">
        <w:rPr>
          <w:szCs w:val="24"/>
          <w:u w:val="single"/>
        </w:rPr>
        <w:t>not to have ED properties.</w:t>
      </w:r>
    </w:p>
    <w:p w:rsidR="000E5B94" w:rsidRDefault="000E5B94" w:rsidP="00AC677B">
      <w:pPr>
        <w:pStyle w:val="ListNumber"/>
        <w:numPr>
          <w:ilvl w:val="0"/>
          <w:numId w:val="0"/>
        </w:numPr>
        <w:autoSpaceDE w:val="0"/>
        <w:autoSpaceDN w:val="0"/>
        <w:adjustRightInd w:val="0"/>
        <w:spacing w:after="0"/>
        <w:ind w:left="709"/>
      </w:pPr>
      <w:bookmarkStart w:id="0" w:name="_GoBack"/>
      <w:bookmarkEnd w:id="0"/>
    </w:p>
    <w:p w:rsidR="00F7633A" w:rsidRPr="008B3C9E" w:rsidRDefault="00F7633A" w:rsidP="00F7633A">
      <w:pPr>
        <w:pStyle w:val="ListNumber"/>
      </w:pPr>
      <w:r w:rsidRPr="008B3C9E">
        <w:t xml:space="preserve">Where relevant, the evaluating body </w:t>
      </w:r>
      <w:r>
        <w:t>must</w:t>
      </w:r>
      <w:r w:rsidRPr="008B3C9E">
        <w:t xml:space="preserve"> also apply </w:t>
      </w:r>
      <w:r w:rsidR="00EE436C">
        <w:t xml:space="preserve">the </w:t>
      </w:r>
      <w:r w:rsidRPr="008B3C9E">
        <w:t>regulatory consequences</w:t>
      </w:r>
      <w:r w:rsidRPr="008B3C9E">
        <w:rPr>
          <w:rStyle w:val="FootnoteReference"/>
        </w:rPr>
        <w:footnoteReference w:id="7"/>
      </w:r>
      <w:r w:rsidRPr="008B3C9E">
        <w:t xml:space="preserve">  related to ED properties</w:t>
      </w:r>
      <w:r>
        <w:t xml:space="preserve"> </w:t>
      </w:r>
      <w:r w:rsidRPr="008B3C9E">
        <w:t>pursuant to Article</w:t>
      </w:r>
      <w:r>
        <w:t>s</w:t>
      </w:r>
      <w:r w:rsidRPr="008B3C9E">
        <w:t xml:space="preserve"> 5(2)</w:t>
      </w:r>
      <w:r>
        <w:t>,</w:t>
      </w:r>
      <w:r w:rsidRPr="008B3C9E">
        <w:t xml:space="preserve"> 19(4), 22(2)(e), 23, 25(b) or 42 </w:t>
      </w:r>
      <w:r>
        <w:t xml:space="preserve">of the BPR, as well as the relevant provisions in Annex VI to the BPR (for example point 48) </w:t>
      </w:r>
      <w:r w:rsidRPr="008B3C9E">
        <w:t>that are linked to the ED properties of the product or its components.</w:t>
      </w:r>
    </w:p>
    <w:p w:rsidR="00563775" w:rsidRDefault="00AE0F0F" w:rsidP="0020174B">
      <w:pPr>
        <w:pStyle w:val="ListNumber"/>
      </w:pPr>
      <w:r>
        <w:t xml:space="preserve">For biocidal product families </w:t>
      </w:r>
      <w:r w:rsidR="00F576DA">
        <w:t>the criteria should be considered in</w:t>
      </w:r>
      <w:r w:rsidR="007418B2">
        <w:t xml:space="preserve"> principle in </w:t>
      </w:r>
      <w:r w:rsidR="00F576DA">
        <w:t xml:space="preserve">a similar way as for individual products, so considering the ED criteria for both the active substances and the non-active substances included in </w:t>
      </w:r>
      <w:r w:rsidR="001274F5">
        <w:t xml:space="preserve">the composition of </w:t>
      </w:r>
      <w:r w:rsidR="00F576DA">
        <w:t xml:space="preserve">the family. </w:t>
      </w:r>
    </w:p>
    <w:p w:rsidR="00F7633A" w:rsidRDefault="00F576DA" w:rsidP="00F7633A">
      <w:pPr>
        <w:pStyle w:val="ListNumber"/>
      </w:pPr>
      <w:r>
        <w:lastRenderedPageBreak/>
        <w:t>Article 3(1)</w:t>
      </w:r>
      <w:r w:rsidR="00563775">
        <w:t>(s) of the BPR provides a definition of a biocidal product family</w:t>
      </w:r>
      <w:r w:rsidR="00F7633A">
        <w:t xml:space="preserve"> and its implementation is further addressed in document </w:t>
      </w:r>
      <w:r w:rsidR="00F7633A" w:rsidRPr="00F7633A">
        <w:t>CA-Nov14-Doc.5.8 – Final.rev3</w:t>
      </w:r>
      <w:r w:rsidR="00F7633A">
        <w:rPr>
          <w:rStyle w:val="FootnoteReference"/>
        </w:rPr>
        <w:footnoteReference w:id="8"/>
      </w:r>
      <w:r w:rsidR="00563775">
        <w:t xml:space="preserve">. </w:t>
      </w:r>
      <w:r w:rsidR="001274F5">
        <w:t xml:space="preserve">As all individual products of a family shall contain the same active substance(s), where the active substance(s) are considered to have ED properties </w:t>
      </w:r>
      <w:r w:rsidR="00F7633A">
        <w:t xml:space="preserve">then </w:t>
      </w:r>
      <w:r w:rsidR="00782580">
        <w:t xml:space="preserve">all the products will be affected in the same manner. </w:t>
      </w:r>
    </w:p>
    <w:p w:rsidR="00E30766" w:rsidRDefault="00782580" w:rsidP="00F7633A">
      <w:pPr>
        <w:pStyle w:val="ListNumber"/>
      </w:pPr>
      <w:r>
        <w:t>However, t</w:t>
      </w:r>
      <w:r w:rsidR="00563775">
        <w:t xml:space="preserve">he presence of non-active substances considered to have ED properties </w:t>
      </w:r>
      <w:r>
        <w:t>may affect</w:t>
      </w:r>
      <w:r w:rsidR="00E30766">
        <w:t xml:space="preserve"> some of the individual products of the family </w:t>
      </w:r>
      <w:r>
        <w:t xml:space="preserve">and therefore the </w:t>
      </w:r>
      <w:r w:rsidR="00563775">
        <w:t xml:space="preserve">regulatory consequences </w:t>
      </w:r>
      <w:r>
        <w:t xml:space="preserve">would be limited to </w:t>
      </w:r>
      <w:r w:rsidR="00563775">
        <w:t>the</w:t>
      </w:r>
      <w:r w:rsidR="00E30766">
        <w:t>se products</w:t>
      </w:r>
      <w:r>
        <w:t xml:space="preserve"> </w:t>
      </w:r>
      <w:r w:rsidR="00F7633A">
        <w:t xml:space="preserve">only </w:t>
      </w:r>
      <w:r>
        <w:t>(i.e.</w:t>
      </w:r>
      <w:r w:rsidR="00E30766">
        <w:t xml:space="preserve"> they could not be authorised for use by the general public in accordance with Article 19(4) of the BPR</w:t>
      </w:r>
      <w:r>
        <w:t>)</w:t>
      </w:r>
      <w:r w:rsidR="00563775">
        <w:t>.</w:t>
      </w:r>
      <w:r w:rsidR="00F7633A">
        <w:t xml:space="preserve"> </w:t>
      </w:r>
      <w:r w:rsidR="00E30766">
        <w:t>Th</w:t>
      </w:r>
      <w:r w:rsidR="00F7633A">
        <w:t>us</w:t>
      </w:r>
      <w:r w:rsidR="00E30766">
        <w:t>, this aspect may affect</w:t>
      </w:r>
      <w:r w:rsidR="00FF3C01">
        <w:t xml:space="preserve"> the structure of the biocidal products family</w:t>
      </w:r>
      <w:r w:rsidR="00E30766">
        <w:t xml:space="preserve"> and would require the allocation of any affected products having ED properties within a meta-SPC that </w:t>
      </w:r>
      <w:r w:rsidR="00210592">
        <w:t>includes products</w:t>
      </w:r>
      <w:r w:rsidR="00E30766">
        <w:t xml:space="preserve"> for professional users only</w:t>
      </w:r>
      <w:r w:rsidR="00FF3C01">
        <w:t>.</w:t>
      </w:r>
    </w:p>
    <w:p w:rsidR="00575CA1" w:rsidRPr="008B3C9E" w:rsidRDefault="00575CA1" w:rsidP="005F17ED">
      <w:pPr>
        <w:pStyle w:val="ListNumber"/>
        <w:numPr>
          <w:ilvl w:val="0"/>
          <w:numId w:val="0"/>
        </w:numPr>
        <w:ind w:left="709"/>
      </w:pPr>
    </w:p>
    <w:p w:rsidR="00C11583" w:rsidRPr="008B3C9E" w:rsidRDefault="00C11583" w:rsidP="00C11583">
      <w:pPr>
        <w:pStyle w:val="ListNumber"/>
        <w:numPr>
          <w:ilvl w:val="0"/>
          <w:numId w:val="0"/>
        </w:numPr>
        <w:rPr>
          <w:b/>
          <w:i/>
        </w:rPr>
      </w:pPr>
      <w:r w:rsidRPr="008B3C9E">
        <w:rPr>
          <w:b/>
          <w:i/>
        </w:rPr>
        <w:t>2.1</w:t>
      </w:r>
      <w:r w:rsidR="00D63BC3" w:rsidRPr="008B3C9E">
        <w:rPr>
          <w:b/>
          <w:i/>
        </w:rPr>
        <w:t>.1</w:t>
      </w:r>
      <w:r w:rsidRPr="008B3C9E">
        <w:rPr>
          <w:b/>
          <w:i/>
        </w:rPr>
        <w:t xml:space="preserve">.- Assessment of </w:t>
      </w:r>
      <w:r w:rsidR="00CB3379">
        <w:rPr>
          <w:b/>
          <w:i/>
        </w:rPr>
        <w:t xml:space="preserve">the </w:t>
      </w:r>
      <w:r w:rsidR="00783FFF" w:rsidRPr="008B3C9E">
        <w:rPr>
          <w:b/>
          <w:i/>
        </w:rPr>
        <w:t xml:space="preserve">ED properties of </w:t>
      </w:r>
      <w:r w:rsidRPr="008B3C9E">
        <w:rPr>
          <w:b/>
          <w:i/>
        </w:rPr>
        <w:t xml:space="preserve">the active substance(s) in the product   </w:t>
      </w:r>
    </w:p>
    <w:p w:rsidR="00C11583" w:rsidRPr="008B3C9E" w:rsidRDefault="00530FEF" w:rsidP="007807AC">
      <w:pPr>
        <w:pStyle w:val="ListNumber"/>
      </w:pPr>
      <w:r w:rsidRPr="008B3C9E">
        <w:t xml:space="preserve">Biocidal products that are under assessment by the evaluating body </w:t>
      </w:r>
      <w:r w:rsidR="00CE2311">
        <w:t xml:space="preserve">may </w:t>
      </w:r>
      <w:r w:rsidR="00FD7148" w:rsidRPr="008B3C9E">
        <w:t xml:space="preserve">only </w:t>
      </w:r>
      <w:r w:rsidRPr="008B3C9E">
        <w:t xml:space="preserve">contain </w:t>
      </w:r>
      <w:r w:rsidR="00852CE0">
        <w:t>active substances</w:t>
      </w:r>
      <w:r w:rsidRPr="008B3C9E">
        <w:t xml:space="preserve"> that are </w:t>
      </w:r>
      <w:r w:rsidR="007807AC" w:rsidRPr="008B3C9E">
        <w:t xml:space="preserve">included in Annex I or </w:t>
      </w:r>
      <w:r w:rsidR="00CE2311">
        <w:t xml:space="preserve">have </w:t>
      </w:r>
      <w:r w:rsidR="007807AC" w:rsidRPr="008B3C9E">
        <w:t xml:space="preserve">already </w:t>
      </w:r>
      <w:r w:rsidR="00CE2311">
        <w:t xml:space="preserve">been </w:t>
      </w:r>
      <w:r w:rsidRPr="008B3C9E">
        <w:t>approved</w:t>
      </w:r>
      <w:r w:rsidR="00575E25" w:rsidRPr="008B3C9E">
        <w:t>, as provided for in Article 19(1)(a) of the BPR</w:t>
      </w:r>
      <w:r w:rsidRPr="008B3C9E">
        <w:t>.</w:t>
      </w:r>
    </w:p>
    <w:p w:rsidR="000C6388" w:rsidRDefault="003C088F" w:rsidP="00575E25">
      <w:pPr>
        <w:pStyle w:val="ListNumber"/>
      </w:pPr>
      <w:r w:rsidRPr="008B3C9E">
        <w:t>During</w:t>
      </w:r>
      <w:r w:rsidR="003B4047" w:rsidRPr="008B3C9E">
        <w:t xml:space="preserve"> </w:t>
      </w:r>
      <w:r w:rsidR="00E72ACF">
        <w:t xml:space="preserve">the </w:t>
      </w:r>
      <w:r w:rsidR="003B4047" w:rsidRPr="008B3C9E">
        <w:t>product authorisation</w:t>
      </w:r>
      <w:r w:rsidR="00F63034" w:rsidRPr="008B3C9E">
        <w:t xml:space="preserve"> procedure</w:t>
      </w:r>
      <w:r w:rsidR="003B4047" w:rsidRPr="008B3C9E">
        <w:t xml:space="preserve">, </w:t>
      </w:r>
      <w:r w:rsidR="007807AC" w:rsidRPr="008B3C9E">
        <w:t xml:space="preserve">the evaluating body carries out an </w:t>
      </w:r>
      <w:r w:rsidR="00575E25" w:rsidRPr="008B3C9E">
        <w:t xml:space="preserve">assessment </w:t>
      </w:r>
      <w:r w:rsidR="00917B84">
        <w:t xml:space="preserve">in </w:t>
      </w:r>
      <w:r w:rsidR="00575E25" w:rsidRPr="008B3C9E">
        <w:t>accord</w:t>
      </w:r>
      <w:r w:rsidR="00917B84">
        <w:t>ance with</w:t>
      </w:r>
      <w:r w:rsidR="00575E25" w:rsidRPr="008B3C9E">
        <w:t xml:space="preserve"> the common principles for the evaluation of biocidal products laid down in Annex VI</w:t>
      </w:r>
      <w:r w:rsidR="001970A7" w:rsidRPr="008B3C9E">
        <w:t xml:space="preserve"> to the BPR</w:t>
      </w:r>
      <w:r w:rsidR="00CE2311">
        <w:t>,</w:t>
      </w:r>
      <w:r w:rsidR="001970A7" w:rsidRPr="008B3C9E">
        <w:t xml:space="preserve"> </w:t>
      </w:r>
      <w:r w:rsidR="007807AC" w:rsidRPr="008B3C9E">
        <w:t>in order</w:t>
      </w:r>
      <w:r w:rsidR="00575E25" w:rsidRPr="008B3C9E">
        <w:t xml:space="preserve"> to </w:t>
      </w:r>
      <w:r w:rsidR="00CE2311">
        <w:t xml:space="preserve">determine </w:t>
      </w:r>
      <w:r w:rsidR="00575E25" w:rsidRPr="008B3C9E">
        <w:t>whe</w:t>
      </w:r>
      <w:r w:rsidR="001970A7" w:rsidRPr="008B3C9E">
        <w:t xml:space="preserve">ther the conditions </w:t>
      </w:r>
      <w:r w:rsidR="00575E25" w:rsidRPr="008B3C9E">
        <w:t>in Article 19(1)</w:t>
      </w:r>
      <w:r w:rsidR="001970A7" w:rsidRPr="008B3C9E">
        <w:t xml:space="preserve"> are met</w:t>
      </w:r>
      <w:r w:rsidR="00575E25" w:rsidRPr="008B3C9E">
        <w:t>.</w:t>
      </w:r>
      <w:r w:rsidR="001970A7" w:rsidRPr="008B3C9E">
        <w:t xml:space="preserve"> </w:t>
      </w:r>
      <w:r w:rsidR="00F9351F">
        <w:t xml:space="preserve">Paragraph </w:t>
      </w:r>
      <w:r w:rsidR="00F9351F" w:rsidRPr="00C262F8">
        <w:t>9</w:t>
      </w:r>
      <w:r w:rsidR="00F9351F">
        <w:t xml:space="preserve"> </w:t>
      </w:r>
      <w:r w:rsidR="006D1352">
        <w:t xml:space="preserve">of this note </w:t>
      </w:r>
      <w:r w:rsidR="00F9351F">
        <w:t>specifies in which situation</w:t>
      </w:r>
      <w:r w:rsidR="00B63DE1">
        <w:t xml:space="preserve"> a biocidal active substance and </w:t>
      </w:r>
      <w:r w:rsidR="00F9351F">
        <w:t>a biocidal product can be considered to have ED properties</w:t>
      </w:r>
      <w:r w:rsidR="00F2524A">
        <w:t>.</w:t>
      </w:r>
      <w:r w:rsidR="00F9351F">
        <w:t xml:space="preserve"> </w:t>
      </w:r>
      <w:r w:rsidR="001970A7" w:rsidRPr="008B3C9E">
        <w:t xml:space="preserve">Normally, </w:t>
      </w:r>
      <w:r w:rsidR="003B4047" w:rsidRPr="008B3C9E">
        <w:t xml:space="preserve">no specific additional data on </w:t>
      </w:r>
      <w:r w:rsidR="001970A7" w:rsidRPr="008B3C9E">
        <w:t xml:space="preserve">the </w:t>
      </w:r>
      <w:r w:rsidR="00CE2311">
        <w:t>active substance</w:t>
      </w:r>
      <w:r w:rsidR="001970A7" w:rsidRPr="008B3C9E">
        <w:t xml:space="preserve"> itself </w:t>
      </w:r>
      <w:r w:rsidRPr="008B3C9E">
        <w:t>should be requested</w:t>
      </w:r>
      <w:r w:rsidR="00034AB6" w:rsidRPr="008B3C9E">
        <w:t xml:space="preserve"> </w:t>
      </w:r>
      <w:r w:rsidR="0027525B" w:rsidRPr="008B3C9E">
        <w:t xml:space="preserve">in </w:t>
      </w:r>
      <w:r w:rsidR="00CE2311">
        <w:t xml:space="preserve">the </w:t>
      </w:r>
      <w:r w:rsidR="0027525B" w:rsidRPr="008B3C9E">
        <w:t>biocidal product authorisation procedure</w:t>
      </w:r>
      <w:r w:rsidR="00155638" w:rsidRPr="008B3C9E">
        <w:t>,</w:t>
      </w:r>
      <w:r w:rsidR="003B4047" w:rsidRPr="008B3C9E">
        <w:t xml:space="preserve"> as the evaluation of </w:t>
      </w:r>
      <w:r w:rsidR="009B1062">
        <w:t>active substance</w:t>
      </w:r>
      <w:r w:rsidR="003B4047" w:rsidRPr="008B3C9E">
        <w:t xml:space="preserve"> properties </w:t>
      </w:r>
      <w:r w:rsidR="00355989" w:rsidRPr="008B3C9E">
        <w:t>is</w:t>
      </w:r>
      <w:r w:rsidR="003B4047" w:rsidRPr="008B3C9E">
        <w:t xml:space="preserve"> done </w:t>
      </w:r>
      <w:r w:rsidR="00CE2311">
        <w:t>under</w:t>
      </w:r>
      <w:r w:rsidR="003B4047" w:rsidRPr="008B3C9E">
        <w:t xml:space="preserve"> the </w:t>
      </w:r>
      <w:r w:rsidR="00CE2311">
        <w:t>active substance</w:t>
      </w:r>
      <w:r w:rsidR="001970A7" w:rsidRPr="008B3C9E">
        <w:t xml:space="preserve"> </w:t>
      </w:r>
      <w:r w:rsidR="003B4047" w:rsidRPr="008B3C9E">
        <w:t>approval procedure</w:t>
      </w:r>
      <w:r w:rsidRPr="008B3C9E">
        <w:t>.</w:t>
      </w:r>
      <w:r w:rsidR="009D55B9">
        <w:t xml:space="preserve"> </w:t>
      </w:r>
    </w:p>
    <w:p w:rsidR="00482055" w:rsidRPr="008B3C9E" w:rsidRDefault="00482055" w:rsidP="00575E25">
      <w:pPr>
        <w:pStyle w:val="ListNumber"/>
      </w:pPr>
      <w:r>
        <w:t xml:space="preserve">By the date when the ED criteria </w:t>
      </w:r>
      <w:r w:rsidR="000C6388">
        <w:t xml:space="preserve">set in accordance with Article 5(3) of the BPR will </w:t>
      </w:r>
      <w:r>
        <w:t xml:space="preserve">become applicable, </w:t>
      </w:r>
      <w:r w:rsidR="000C6388">
        <w:t xml:space="preserve">already approved </w:t>
      </w:r>
      <w:r>
        <w:t xml:space="preserve">active substances might be considered to have ED properties according to these criteria. </w:t>
      </w:r>
    </w:p>
    <w:p w:rsidR="001970A7" w:rsidRPr="001615C9" w:rsidRDefault="0062765D" w:rsidP="001C1F6D">
      <w:pPr>
        <w:pStyle w:val="ListNumber"/>
      </w:pPr>
      <w:r>
        <w:t>T</w:t>
      </w:r>
      <w:r w:rsidR="001C1F6D">
        <w:t>he assessment of ED properties of</w:t>
      </w:r>
      <w:r w:rsidR="0027525B" w:rsidRPr="008B3C9E">
        <w:t xml:space="preserve"> </w:t>
      </w:r>
      <w:r w:rsidR="009B1062">
        <w:t>active substances</w:t>
      </w:r>
      <w:r w:rsidR="001970A7" w:rsidRPr="008B3C9E">
        <w:t xml:space="preserve"> that </w:t>
      </w:r>
      <w:r w:rsidR="008A6773">
        <w:t xml:space="preserve">have </w:t>
      </w:r>
      <w:r w:rsidR="001970A7" w:rsidRPr="008B3C9E">
        <w:t xml:space="preserve">already </w:t>
      </w:r>
      <w:r w:rsidR="008A6773">
        <w:t xml:space="preserve">been </w:t>
      </w:r>
      <w:r w:rsidR="001C1F6D">
        <w:t xml:space="preserve">evaluated and </w:t>
      </w:r>
      <w:r w:rsidR="001970A7" w:rsidRPr="008B3C9E">
        <w:t xml:space="preserve">approved </w:t>
      </w:r>
      <w:r w:rsidR="00355989" w:rsidRPr="008B3C9E">
        <w:t>(or those</w:t>
      </w:r>
      <w:r w:rsidR="001970A7" w:rsidRPr="008B3C9E">
        <w:t xml:space="preserve"> for which the Standing Committee on biocidal products has delivered a positive opinion before the new ED criteria </w:t>
      </w:r>
      <w:r w:rsidR="00852CE0">
        <w:t xml:space="preserve">become </w:t>
      </w:r>
      <w:r w:rsidR="001970A7" w:rsidRPr="008B3C9E">
        <w:t>applicable</w:t>
      </w:r>
      <w:r w:rsidR="00355989" w:rsidRPr="008B3C9E">
        <w:t>)</w:t>
      </w:r>
      <w:r w:rsidR="001970A7" w:rsidRPr="008B3C9E">
        <w:t xml:space="preserve"> </w:t>
      </w:r>
      <w:r w:rsidR="00901FD2" w:rsidRPr="008B3C9E">
        <w:t>will</w:t>
      </w:r>
      <w:r w:rsidR="001970A7" w:rsidRPr="008B3C9E">
        <w:t xml:space="preserve"> be coordinated at EU level</w:t>
      </w:r>
      <w:r w:rsidR="00B36E26" w:rsidRPr="008B3C9E">
        <w:rPr>
          <w:rStyle w:val="FootnoteReference"/>
        </w:rPr>
        <w:footnoteReference w:id="9"/>
      </w:r>
      <w:r w:rsidR="008A6773">
        <w:t>. Hence,</w:t>
      </w:r>
      <w:r w:rsidR="001970A7" w:rsidRPr="008B3C9E">
        <w:t xml:space="preserve"> the evaluating bod</w:t>
      </w:r>
      <w:r w:rsidR="007807AC" w:rsidRPr="008B3C9E">
        <w:t>y</w:t>
      </w:r>
      <w:r w:rsidR="001970A7" w:rsidRPr="008B3C9E">
        <w:t xml:space="preserve"> sh</w:t>
      </w:r>
      <w:r w:rsidR="0027525B" w:rsidRPr="008B3C9E">
        <w:t>ould</w:t>
      </w:r>
      <w:r w:rsidR="001970A7" w:rsidRPr="008B3C9E">
        <w:t xml:space="preserve"> not </w:t>
      </w:r>
      <w:r w:rsidR="0027525B" w:rsidRPr="008B3C9E">
        <w:t>evaluate</w:t>
      </w:r>
      <w:r w:rsidR="006275B3" w:rsidRPr="008B3C9E">
        <w:t xml:space="preserve"> the ED properties of the </w:t>
      </w:r>
      <w:r w:rsidR="008A6773">
        <w:t>active substance</w:t>
      </w:r>
      <w:r w:rsidR="006275B3" w:rsidRPr="008B3C9E">
        <w:t xml:space="preserve"> nor </w:t>
      </w:r>
      <w:r w:rsidR="001970A7" w:rsidRPr="008B3C9E">
        <w:t xml:space="preserve">request additional data </w:t>
      </w:r>
      <w:r w:rsidR="00355989" w:rsidRPr="008B3C9E">
        <w:t>on th</w:t>
      </w:r>
      <w:r w:rsidR="008A6773">
        <w:t>e</w:t>
      </w:r>
      <w:r w:rsidR="00355989" w:rsidRPr="008B3C9E">
        <w:t xml:space="preserve"> </w:t>
      </w:r>
      <w:r w:rsidR="00FB370C" w:rsidRPr="008B3C9E">
        <w:t>ED properties</w:t>
      </w:r>
      <w:r w:rsidR="00355989" w:rsidRPr="008B3C9E">
        <w:t xml:space="preserve"> </w:t>
      </w:r>
      <w:r w:rsidR="001970A7" w:rsidRPr="008B3C9E">
        <w:t xml:space="preserve">in the context of product authorisation </w:t>
      </w:r>
      <w:r w:rsidR="001615C9" w:rsidRPr="001615C9">
        <w:t>procedures</w:t>
      </w:r>
      <w:r w:rsidR="001970A7" w:rsidRPr="001615C9">
        <w:t>.</w:t>
      </w:r>
      <w:r w:rsidR="001615C9" w:rsidRPr="001615C9">
        <w:t xml:space="preserve"> </w:t>
      </w:r>
    </w:p>
    <w:p w:rsidR="003C088F" w:rsidRPr="008B3C9E" w:rsidRDefault="00E505A8" w:rsidP="00826A60">
      <w:pPr>
        <w:pStyle w:val="ListNumber"/>
      </w:pPr>
      <w:r>
        <w:lastRenderedPageBreak/>
        <w:t xml:space="preserve">Following the </w:t>
      </w:r>
      <w:r w:rsidR="006275B3" w:rsidRPr="008B3C9E">
        <w:t xml:space="preserve">coordinated action at EU level </w:t>
      </w:r>
      <w:r>
        <w:t xml:space="preserve">to </w:t>
      </w:r>
      <w:r w:rsidR="0027525B" w:rsidRPr="008B3C9E">
        <w:t>determin</w:t>
      </w:r>
      <w:r w:rsidR="008A6773">
        <w:t>e</w:t>
      </w:r>
      <w:r w:rsidR="00E72ACF">
        <w:t xml:space="preserve"> whether</w:t>
      </w:r>
      <w:r w:rsidR="001D55B0">
        <w:t xml:space="preserve"> </w:t>
      </w:r>
      <w:r w:rsidR="0027525B" w:rsidRPr="008B3C9E">
        <w:t xml:space="preserve">an </w:t>
      </w:r>
      <w:r w:rsidR="00F17760">
        <w:t xml:space="preserve">approved </w:t>
      </w:r>
      <w:r w:rsidR="00CB3379">
        <w:t>active substance</w:t>
      </w:r>
      <w:r w:rsidR="0027525B" w:rsidRPr="008B3C9E">
        <w:t xml:space="preserve"> </w:t>
      </w:r>
      <w:r w:rsidR="00E72ACF">
        <w:t xml:space="preserve">can be considered to have </w:t>
      </w:r>
      <w:r w:rsidR="0027525B" w:rsidRPr="008B3C9E">
        <w:t>ED properties</w:t>
      </w:r>
      <w:r w:rsidR="006275B3" w:rsidRPr="008B3C9E">
        <w:t xml:space="preserve">, and in line with the current practice </w:t>
      </w:r>
      <w:r w:rsidR="003C088F" w:rsidRPr="008B3C9E">
        <w:t xml:space="preserve">for the other exclusion or substitution criteria, </w:t>
      </w:r>
      <w:r w:rsidR="006275B3" w:rsidRPr="008B3C9E">
        <w:t xml:space="preserve">ECHA will update </w:t>
      </w:r>
      <w:r w:rsidR="003C088F" w:rsidRPr="008B3C9E">
        <w:t>the list</w:t>
      </w:r>
      <w:r w:rsidR="006275B3" w:rsidRPr="008B3C9E">
        <w:rPr>
          <w:rStyle w:val="FootnoteReference"/>
        </w:rPr>
        <w:footnoteReference w:id="10"/>
      </w:r>
      <w:r w:rsidR="003C088F" w:rsidRPr="008B3C9E">
        <w:t xml:space="preserve"> summarising the </w:t>
      </w:r>
      <w:r w:rsidR="006275B3" w:rsidRPr="008B3C9E">
        <w:t xml:space="preserve">properties of each approved </w:t>
      </w:r>
      <w:r w:rsidR="00CB3379">
        <w:t>active substance</w:t>
      </w:r>
      <w:r w:rsidR="006275B3" w:rsidRPr="008B3C9E">
        <w:t xml:space="preserve"> </w:t>
      </w:r>
      <w:r w:rsidR="008A6773">
        <w:t xml:space="preserve">for </w:t>
      </w:r>
      <w:r w:rsidR="006275B3" w:rsidRPr="008B3C9E">
        <w:t xml:space="preserve">those </w:t>
      </w:r>
      <w:r w:rsidR="008A6773">
        <w:t xml:space="preserve">ED </w:t>
      </w:r>
      <w:r w:rsidR="006275B3" w:rsidRPr="008B3C9E">
        <w:t>criteria and</w:t>
      </w:r>
      <w:r w:rsidR="00F63034" w:rsidRPr="008B3C9E">
        <w:t>,</w:t>
      </w:r>
      <w:r w:rsidR="006275B3" w:rsidRPr="008B3C9E">
        <w:t xml:space="preserve"> where relevant, indicate any </w:t>
      </w:r>
      <w:r w:rsidR="00681A6E">
        <w:t>active substance</w:t>
      </w:r>
      <w:r w:rsidR="00155638" w:rsidRPr="008B3C9E">
        <w:t xml:space="preserve"> </w:t>
      </w:r>
      <w:r w:rsidR="006275B3" w:rsidRPr="008B3C9E">
        <w:t>meeting the</w:t>
      </w:r>
      <w:r w:rsidR="00155638" w:rsidRPr="008B3C9E">
        <w:t xml:space="preserve"> </w:t>
      </w:r>
      <w:r w:rsidR="006275B3" w:rsidRPr="008B3C9E">
        <w:t>criteria.</w:t>
      </w:r>
    </w:p>
    <w:p w:rsidR="00CE626D" w:rsidRDefault="007807AC" w:rsidP="009F4244">
      <w:pPr>
        <w:pStyle w:val="ListNumber"/>
      </w:pPr>
      <w:r w:rsidRPr="008B3C9E">
        <w:t>Once</w:t>
      </w:r>
      <w:r w:rsidR="00155638" w:rsidRPr="008B3C9E">
        <w:t xml:space="preserve"> an </w:t>
      </w:r>
      <w:r w:rsidR="00681A6E">
        <w:t>active substance</w:t>
      </w:r>
      <w:r w:rsidR="00155638" w:rsidRPr="008B3C9E">
        <w:t xml:space="preserve"> </w:t>
      </w:r>
      <w:r w:rsidR="00747278">
        <w:t>is</w:t>
      </w:r>
      <w:r w:rsidR="00155638" w:rsidRPr="008B3C9E">
        <w:t xml:space="preserve"> identified as </w:t>
      </w:r>
      <w:r w:rsidR="007D0A92" w:rsidRPr="008B3C9E">
        <w:t>meeting the ED criteria</w:t>
      </w:r>
      <w:r w:rsidR="00F17760">
        <w:t xml:space="preserve"> as set by Article 5(3) of the BPR</w:t>
      </w:r>
      <w:r w:rsidR="00155638" w:rsidRPr="008B3C9E">
        <w:t xml:space="preserve">, or </w:t>
      </w:r>
      <w:r w:rsidR="000C6388">
        <w:t xml:space="preserve">it </w:t>
      </w:r>
      <w:r w:rsidRPr="008B3C9E">
        <w:t xml:space="preserve">is </w:t>
      </w:r>
      <w:r w:rsidR="00155638" w:rsidRPr="008B3C9E">
        <w:t>identified as having endocrine</w:t>
      </w:r>
      <w:r w:rsidR="00AB0E6C">
        <w:t>-</w:t>
      </w:r>
      <w:r w:rsidR="00155638" w:rsidRPr="008B3C9E">
        <w:t>disrupting properties in accordance with Articles 57(f) and 59(1) of Regulation (EC) No 1907/2006,</w:t>
      </w:r>
      <w:r w:rsidR="00F17760">
        <w:t xml:space="preserve"> or considered to have ED properties because of its mode of action (see paragraph </w:t>
      </w:r>
      <w:r w:rsidR="00107AF3" w:rsidRPr="00C262F8">
        <w:t>9</w:t>
      </w:r>
      <w:r w:rsidR="00F17760">
        <w:t>)</w:t>
      </w:r>
      <w:r w:rsidR="009F4244" w:rsidRPr="008B3C9E">
        <w:t xml:space="preserve"> the </w:t>
      </w:r>
      <w:r w:rsidR="00F471B7" w:rsidRPr="008B3C9E">
        <w:t xml:space="preserve">evaluating body will have to </w:t>
      </w:r>
      <w:r w:rsidR="00155638" w:rsidRPr="008B3C9E">
        <w:t>apply the regulatory consequences</w:t>
      </w:r>
      <w:r w:rsidR="0062765D" w:rsidRPr="008B3C9E">
        <w:rPr>
          <w:rStyle w:val="FootnoteReference"/>
        </w:rPr>
        <w:footnoteReference w:id="11"/>
      </w:r>
      <w:r w:rsidR="00155638" w:rsidRPr="008B3C9E">
        <w:t xml:space="preserve"> </w:t>
      </w:r>
      <w:r w:rsidR="00852CE0">
        <w:t xml:space="preserve">for </w:t>
      </w:r>
      <w:r w:rsidR="00901FD2" w:rsidRPr="008B3C9E">
        <w:t xml:space="preserve">biocidal products </w:t>
      </w:r>
      <w:r w:rsidR="00155638" w:rsidRPr="008B3C9E">
        <w:t xml:space="preserve">pursuant to Article 5(2) </w:t>
      </w:r>
      <w:r w:rsidR="00355989" w:rsidRPr="008B3C9E">
        <w:t xml:space="preserve">and paragraph 10 of Annex VI, </w:t>
      </w:r>
      <w:r w:rsidR="005F3E61" w:rsidRPr="008B3C9E">
        <w:t xml:space="preserve">as well as </w:t>
      </w:r>
      <w:r w:rsidR="006275B3" w:rsidRPr="008B3C9E">
        <w:t xml:space="preserve">Article </w:t>
      </w:r>
      <w:r w:rsidR="00155638" w:rsidRPr="008B3C9E">
        <w:t>19(4)</w:t>
      </w:r>
      <w:r w:rsidR="000A72B9" w:rsidRPr="008B3C9E">
        <w:t>,</w:t>
      </w:r>
      <w:r w:rsidR="00155638" w:rsidRPr="008B3C9E">
        <w:t xml:space="preserve"> 23 </w:t>
      </w:r>
      <w:r w:rsidR="000A72B9" w:rsidRPr="008B3C9E">
        <w:t xml:space="preserve">or 42 </w:t>
      </w:r>
      <w:r w:rsidR="00355989" w:rsidRPr="008B3C9E">
        <w:t xml:space="preserve">of the BPR </w:t>
      </w:r>
      <w:r w:rsidR="00155638" w:rsidRPr="008B3C9E">
        <w:t xml:space="preserve">that are linked to the ED properties of the </w:t>
      </w:r>
      <w:r w:rsidR="00747278">
        <w:t>active substance</w:t>
      </w:r>
      <w:r w:rsidR="009F4244" w:rsidRPr="008B3C9E">
        <w:t>.</w:t>
      </w:r>
    </w:p>
    <w:p w:rsidR="00DC5086" w:rsidRPr="008B3C9E" w:rsidRDefault="00DC5086" w:rsidP="00B26FAD">
      <w:pPr>
        <w:pStyle w:val="ListNumber"/>
        <w:numPr>
          <w:ilvl w:val="0"/>
          <w:numId w:val="0"/>
        </w:numPr>
        <w:rPr>
          <w:b/>
          <w:i/>
        </w:rPr>
      </w:pPr>
    </w:p>
    <w:p w:rsidR="00B26FAD" w:rsidRPr="008B3C9E" w:rsidRDefault="00B26FAD" w:rsidP="00B26FAD">
      <w:pPr>
        <w:pStyle w:val="ListNumber"/>
        <w:numPr>
          <w:ilvl w:val="0"/>
          <w:numId w:val="0"/>
        </w:numPr>
        <w:rPr>
          <w:b/>
          <w:i/>
        </w:rPr>
      </w:pPr>
      <w:r w:rsidRPr="008B3C9E">
        <w:rPr>
          <w:b/>
          <w:i/>
        </w:rPr>
        <w:t>2.</w:t>
      </w:r>
      <w:r w:rsidR="00A8212B" w:rsidRPr="008B3C9E">
        <w:rPr>
          <w:b/>
          <w:i/>
        </w:rPr>
        <w:t>1.</w:t>
      </w:r>
      <w:r w:rsidR="00883C4E" w:rsidRPr="008B3C9E">
        <w:rPr>
          <w:b/>
          <w:i/>
        </w:rPr>
        <w:t>2</w:t>
      </w:r>
      <w:r w:rsidRPr="008B3C9E">
        <w:rPr>
          <w:b/>
          <w:i/>
        </w:rPr>
        <w:t xml:space="preserve">.- Assessment of the </w:t>
      </w:r>
      <w:r w:rsidR="008F56EB" w:rsidRPr="008B3C9E">
        <w:rPr>
          <w:b/>
          <w:i/>
        </w:rPr>
        <w:t>non-</w:t>
      </w:r>
      <w:r w:rsidRPr="008B3C9E">
        <w:rPr>
          <w:b/>
          <w:i/>
        </w:rPr>
        <w:t xml:space="preserve">active substance(s) in the product   </w:t>
      </w:r>
    </w:p>
    <w:p w:rsidR="00C11ADE" w:rsidRPr="00152963" w:rsidRDefault="003942C5" w:rsidP="00C11ADE">
      <w:pPr>
        <w:pStyle w:val="ListNumber"/>
      </w:pPr>
      <w:r>
        <w:t xml:space="preserve">Annex III (information requirements for biocidal products) requires that safety data sheets are </w:t>
      </w:r>
      <w:r w:rsidR="00953A98">
        <w:t>submitted for all non</w:t>
      </w:r>
      <w:r w:rsidR="00953A98" w:rsidRPr="006D1352">
        <w:t xml:space="preserve">-active substances contained in </w:t>
      </w:r>
      <w:r w:rsidRPr="006D1352">
        <w:t>the product</w:t>
      </w:r>
      <w:r w:rsidR="00145481" w:rsidRPr="006D1352">
        <w:t xml:space="preserve"> and points out that the </w:t>
      </w:r>
      <w:r w:rsidR="00D04A0C" w:rsidRPr="006D1352">
        <w:t xml:space="preserve"> </w:t>
      </w:r>
      <w:r w:rsidR="00145481" w:rsidRPr="006D1352">
        <w:t>information submitted shall be sufficient to support a risk assessment demonstrating that the criteria in Arti</w:t>
      </w:r>
      <w:r w:rsidR="00145481" w:rsidRPr="00152963">
        <w:t>cle 19(1)(b) are met</w:t>
      </w:r>
      <w:r w:rsidRPr="00152963">
        <w:t>.</w:t>
      </w:r>
      <w:r w:rsidR="00145481" w:rsidRPr="00152963">
        <w:t xml:space="preserve">  </w:t>
      </w:r>
    </w:p>
    <w:p w:rsidR="0062715E" w:rsidRPr="00152963" w:rsidRDefault="0062715E" w:rsidP="0062715E">
      <w:pPr>
        <w:pStyle w:val="ListNumber"/>
      </w:pPr>
      <w:r w:rsidRPr="00152963">
        <w:t xml:space="preserve">Evaluating bodies have to determine whether a biocidal product </w:t>
      </w:r>
      <w:r w:rsidR="00FA0A5D" w:rsidRPr="00152963">
        <w:t xml:space="preserve">has </w:t>
      </w:r>
      <w:r w:rsidRPr="00152963">
        <w:t xml:space="preserve">ED properties because of a non-active substance contained therein. Therefore, evaluating bodies have to decide whether there is a need to evaluate a specific non-active substance </w:t>
      </w:r>
      <w:r w:rsidR="005660A8" w:rsidRPr="00152963">
        <w:t>in detail</w:t>
      </w:r>
      <w:r w:rsidRPr="00152963">
        <w:t xml:space="preserve"> and, if necessary, to ask additional information to the applicant for the appropriate assessment. This should only occur where there are indications </w:t>
      </w:r>
      <w:r w:rsidR="00A6398E" w:rsidRPr="00152963">
        <w:t xml:space="preserve">that </w:t>
      </w:r>
      <w:r w:rsidRPr="00152963">
        <w:t xml:space="preserve">a  non-active substance may have ED properties based on the existing knowledge and the available scientific information. </w:t>
      </w:r>
    </w:p>
    <w:p w:rsidR="00BB3D45" w:rsidRPr="006D1352" w:rsidRDefault="00F429EE" w:rsidP="00C11ADE">
      <w:pPr>
        <w:pStyle w:val="ListNumber"/>
        <w:rPr>
          <w:rFonts w:ascii="Verdana" w:hAnsi="Verdana"/>
          <w:sz w:val="20"/>
        </w:rPr>
      </w:pPr>
      <w:r w:rsidRPr="006D1352">
        <w:t>Non-active s</w:t>
      </w:r>
      <w:r w:rsidR="00356105" w:rsidRPr="006D1352">
        <w:t xml:space="preserve">ubstances </w:t>
      </w:r>
      <w:r w:rsidR="00D04A0C" w:rsidRPr="006D1352">
        <w:t xml:space="preserve">might </w:t>
      </w:r>
      <w:r w:rsidR="00356105" w:rsidRPr="006D1352">
        <w:t>have been or may be used in different biocidal products and other products (for example plant protection products)</w:t>
      </w:r>
      <w:r w:rsidR="0004682F" w:rsidRPr="006D1352">
        <w:t xml:space="preserve"> and information may be generated by different organisations</w:t>
      </w:r>
      <w:r w:rsidR="00356105" w:rsidRPr="006D1352">
        <w:t xml:space="preserve">. </w:t>
      </w:r>
      <w:r w:rsidR="007B48AB" w:rsidRPr="006D1352">
        <w:t xml:space="preserve">To facilitate the </w:t>
      </w:r>
      <w:r w:rsidR="00356105" w:rsidRPr="006D1352">
        <w:t xml:space="preserve">legal tasks of the </w:t>
      </w:r>
      <w:r w:rsidR="007B48AB" w:rsidRPr="006D1352">
        <w:t xml:space="preserve">evaluating bodies </w:t>
      </w:r>
      <w:r w:rsidR="00B43C19" w:rsidRPr="006D1352">
        <w:t xml:space="preserve">to decide which non-active substances need further consideration in relation to ED properties, </w:t>
      </w:r>
      <w:r w:rsidR="007B48AB" w:rsidRPr="006D1352">
        <w:t xml:space="preserve">it is proposed that </w:t>
      </w:r>
      <w:r w:rsidR="000A43CE" w:rsidRPr="006D1352">
        <w:t xml:space="preserve">an </w:t>
      </w:r>
      <w:r w:rsidR="007B48AB" w:rsidRPr="006D1352">
        <w:t xml:space="preserve">information system </w:t>
      </w:r>
      <w:r w:rsidR="000A43CE" w:rsidRPr="006D1352">
        <w:t xml:space="preserve">and a cooperation mechanism </w:t>
      </w:r>
      <w:r w:rsidR="007B48AB" w:rsidRPr="006D1352">
        <w:t>is being developed.</w:t>
      </w:r>
      <w:r w:rsidR="000A43CE" w:rsidRPr="006D1352">
        <w:t xml:space="preserve"> </w:t>
      </w:r>
      <w:r w:rsidR="00BB3D45" w:rsidRPr="006D1352">
        <w:t>These two will avoid work duplication and improve the consistency, quality and efficiency of the evaluation process by evaluation bodies.</w:t>
      </w:r>
    </w:p>
    <w:p w:rsidR="00BB3D45" w:rsidRPr="006D1352" w:rsidRDefault="00356105" w:rsidP="00C11ADE">
      <w:pPr>
        <w:pStyle w:val="ListNumber"/>
        <w:rPr>
          <w:rFonts w:ascii="Verdana" w:hAnsi="Verdana"/>
          <w:sz w:val="20"/>
        </w:rPr>
      </w:pPr>
      <w:r w:rsidRPr="006D1352">
        <w:t>In the information system</w:t>
      </w:r>
      <w:r w:rsidR="00D04A0C" w:rsidRPr="006D1352">
        <w:t>,</w:t>
      </w:r>
      <w:r w:rsidRPr="006D1352">
        <w:t xml:space="preserve"> </w:t>
      </w:r>
      <w:r w:rsidR="003942C5" w:rsidRPr="006D1352">
        <w:t>evaluating</w:t>
      </w:r>
      <w:r w:rsidR="005C2A3E" w:rsidRPr="006D1352">
        <w:t xml:space="preserve"> </w:t>
      </w:r>
      <w:r w:rsidR="000A43CE" w:rsidRPr="006D1352">
        <w:t>bodies</w:t>
      </w:r>
      <w:r w:rsidR="00D11982">
        <w:rPr>
          <w:rStyle w:val="FootnoteReference"/>
        </w:rPr>
        <w:footnoteReference w:id="12"/>
      </w:r>
      <w:r w:rsidR="000A43CE" w:rsidRPr="006D1352">
        <w:t xml:space="preserve"> </w:t>
      </w:r>
      <w:r w:rsidRPr="006D1352">
        <w:t xml:space="preserve">should </w:t>
      </w:r>
      <w:r w:rsidR="00D91798" w:rsidRPr="006D1352">
        <w:t xml:space="preserve">be able to </w:t>
      </w:r>
      <w:r w:rsidRPr="006D1352">
        <w:t>find wh</w:t>
      </w:r>
      <w:r w:rsidR="000A43CE" w:rsidRPr="006D1352">
        <w:t>ether an evaluating body</w:t>
      </w:r>
      <w:r w:rsidR="00757209" w:rsidRPr="006D1352">
        <w:t xml:space="preserve"> in relation to the BPR</w:t>
      </w:r>
      <w:r w:rsidR="000A43CE" w:rsidRPr="006D1352">
        <w:t xml:space="preserve"> </w:t>
      </w:r>
      <w:r w:rsidR="00D04A0C" w:rsidRPr="006D1352">
        <w:t xml:space="preserve">has </w:t>
      </w:r>
      <w:r w:rsidR="00D91798" w:rsidRPr="006D1352">
        <w:t xml:space="preserve">already </w:t>
      </w:r>
      <w:r w:rsidR="000A43CE" w:rsidRPr="006D1352">
        <w:t>concluded that a</w:t>
      </w:r>
      <w:r w:rsidR="00757209" w:rsidRPr="006D1352">
        <w:t xml:space="preserve"> non-active</w:t>
      </w:r>
      <w:r w:rsidR="000A43CE" w:rsidRPr="006D1352">
        <w:t xml:space="preserve"> substance is considered not to have ED properties or </w:t>
      </w:r>
      <w:r w:rsidR="00D04A0C" w:rsidRPr="006D1352">
        <w:t xml:space="preserve">it </w:t>
      </w:r>
      <w:r w:rsidR="000A43CE" w:rsidRPr="006D1352">
        <w:t xml:space="preserve">is identified as having ED </w:t>
      </w:r>
      <w:r w:rsidR="000A43CE" w:rsidRPr="006D1352">
        <w:lastRenderedPageBreak/>
        <w:t xml:space="preserve">properties. </w:t>
      </w:r>
      <w:r w:rsidR="006D1352" w:rsidRPr="006D1352">
        <w:t>The existence of this information system does not discharge a</w:t>
      </w:r>
      <w:r w:rsidR="000E5D89" w:rsidRPr="006D1352">
        <w:t xml:space="preserve">pplicants </w:t>
      </w:r>
      <w:r w:rsidR="0062715E">
        <w:t>of</w:t>
      </w:r>
      <w:r w:rsidR="006D1352" w:rsidRPr="006D1352">
        <w:t xml:space="preserve"> their responsibility to </w:t>
      </w:r>
      <w:r w:rsidR="000E5D89" w:rsidRPr="006D1352">
        <w:t>inform the evaluating body about any relevant information in relation to ED properties of the substance</w:t>
      </w:r>
      <w:r w:rsidR="006D1352" w:rsidRPr="006D1352">
        <w:t>, including information</w:t>
      </w:r>
      <w:r w:rsidR="000E5D89" w:rsidRPr="006D1352">
        <w:t xml:space="preserve"> developed in the context of other EU legislation (for example, </w:t>
      </w:r>
      <w:r w:rsidR="008F7C22" w:rsidRPr="006D1352">
        <w:t xml:space="preserve">plant protection </w:t>
      </w:r>
      <w:r w:rsidR="000E5D89" w:rsidRPr="006D1352">
        <w:t xml:space="preserve">products </w:t>
      </w:r>
      <w:r w:rsidR="008F7C22" w:rsidRPr="006D1352">
        <w:t xml:space="preserve">legislation </w:t>
      </w:r>
      <w:r w:rsidR="005C2A3E" w:rsidRPr="006D1352">
        <w:t>or</w:t>
      </w:r>
      <w:r w:rsidR="008F7C22" w:rsidRPr="006D1352">
        <w:t xml:space="preserve"> REACH</w:t>
      </w:r>
      <w:r w:rsidR="000E5D89" w:rsidRPr="006D1352">
        <w:t>)</w:t>
      </w:r>
      <w:r w:rsidR="007D3655" w:rsidRPr="006D1352">
        <w:t xml:space="preserve">. </w:t>
      </w:r>
      <w:r w:rsidR="000A43CE" w:rsidRPr="006D1352">
        <w:t xml:space="preserve">ECHA </w:t>
      </w:r>
      <w:r w:rsidR="005C2A3E" w:rsidRPr="006D1352">
        <w:t xml:space="preserve">will be </w:t>
      </w:r>
      <w:r w:rsidR="000A43CE" w:rsidRPr="006D1352">
        <w:t xml:space="preserve">asked to </w:t>
      </w:r>
      <w:r w:rsidR="005C2A3E" w:rsidRPr="006D1352">
        <w:t xml:space="preserve">explore the possibilities to </w:t>
      </w:r>
      <w:r w:rsidR="000A43CE" w:rsidRPr="006D1352">
        <w:t>devel</w:t>
      </w:r>
      <w:r w:rsidR="007D3655" w:rsidRPr="006D1352">
        <w:t xml:space="preserve">op </w:t>
      </w:r>
      <w:r w:rsidR="005C2A3E" w:rsidRPr="006D1352">
        <w:t xml:space="preserve">such an </w:t>
      </w:r>
      <w:r w:rsidR="007D3655" w:rsidRPr="006D1352">
        <w:t>information system</w:t>
      </w:r>
      <w:r w:rsidR="000A43CE" w:rsidRPr="006D1352">
        <w:t xml:space="preserve">. </w:t>
      </w:r>
    </w:p>
    <w:p w:rsidR="00D91798" w:rsidRPr="006D1352" w:rsidRDefault="000A43CE" w:rsidP="00C11ADE">
      <w:pPr>
        <w:pStyle w:val="ListNumber"/>
        <w:rPr>
          <w:rFonts w:ascii="Verdana" w:hAnsi="Verdana"/>
          <w:sz w:val="20"/>
        </w:rPr>
      </w:pPr>
      <w:r w:rsidRPr="006D1352">
        <w:t xml:space="preserve">Also it </w:t>
      </w:r>
      <w:r w:rsidR="00D91798" w:rsidRPr="006D1352">
        <w:t xml:space="preserve">is </w:t>
      </w:r>
      <w:r w:rsidRPr="006D1352">
        <w:t xml:space="preserve">important that evaluating bodies are informed about on-going </w:t>
      </w:r>
      <w:r w:rsidR="00BB3D45" w:rsidRPr="006D1352">
        <w:t>assessments</w:t>
      </w:r>
      <w:r w:rsidRPr="006D1352">
        <w:t xml:space="preserve"> </w:t>
      </w:r>
      <w:r w:rsidR="005C2A3E" w:rsidRPr="006D1352">
        <w:t xml:space="preserve">by </w:t>
      </w:r>
      <w:r w:rsidR="00BB3D45" w:rsidRPr="006D1352">
        <w:t xml:space="preserve">other </w:t>
      </w:r>
      <w:r w:rsidR="007D3655" w:rsidRPr="006D1352">
        <w:t xml:space="preserve">evaluation bodies </w:t>
      </w:r>
      <w:r w:rsidRPr="006D1352">
        <w:t>o</w:t>
      </w:r>
      <w:r w:rsidR="005C2A3E" w:rsidRPr="006D1352">
        <w:t>n</w:t>
      </w:r>
      <w:r w:rsidRPr="006D1352">
        <w:t xml:space="preserve"> </w:t>
      </w:r>
      <w:r w:rsidR="00A05430" w:rsidRPr="006D1352">
        <w:t xml:space="preserve">non-active </w:t>
      </w:r>
      <w:r w:rsidRPr="006D1352">
        <w:t xml:space="preserve">substances </w:t>
      </w:r>
      <w:r w:rsidR="00BB3D45" w:rsidRPr="006D1352">
        <w:t>for which there are</w:t>
      </w:r>
      <w:r w:rsidRPr="006D1352">
        <w:t xml:space="preserve"> indications of ED properties</w:t>
      </w:r>
      <w:r w:rsidR="00356105" w:rsidRPr="006D1352">
        <w:t xml:space="preserve">. It is proposed that ECHA, in close cooperation with the Coordination Group, will </w:t>
      </w:r>
      <w:r w:rsidR="005C2A3E" w:rsidRPr="006D1352">
        <w:t xml:space="preserve">explore the possibilities to </w:t>
      </w:r>
      <w:r w:rsidR="00356105" w:rsidRPr="006D1352">
        <w:t xml:space="preserve">develop such a coordination mechanism </w:t>
      </w:r>
      <w:r w:rsidR="00BB3D45" w:rsidRPr="006D1352">
        <w:t>(similar for the one already exi</w:t>
      </w:r>
      <w:r w:rsidR="00953144" w:rsidRPr="006D1352">
        <w:t>s</w:t>
      </w:r>
      <w:r w:rsidR="00BB3D45" w:rsidRPr="006D1352">
        <w:t xml:space="preserve">ting on the so-called "third party" dossiers) </w:t>
      </w:r>
      <w:r w:rsidR="00356105" w:rsidRPr="006D1352">
        <w:t xml:space="preserve">in which evaluating bodies can find the </w:t>
      </w:r>
      <w:r w:rsidR="00BB3D45" w:rsidRPr="006D1352">
        <w:t xml:space="preserve">non-active </w:t>
      </w:r>
      <w:r w:rsidR="00356105" w:rsidRPr="006D1352">
        <w:t xml:space="preserve">substances currently being evaluated by other bodies for ED properties. </w:t>
      </w:r>
    </w:p>
    <w:p w:rsidR="002E5F37" w:rsidRPr="008B3C9E" w:rsidRDefault="002E5F37" w:rsidP="002E5F37">
      <w:pPr>
        <w:pStyle w:val="ListNumber"/>
      </w:pPr>
      <w:r w:rsidRPr="008B3C9E">
        <w:t>In accordance with Articles 26(4), 30(2) and 44(2) of the BPR (</w:t>
      </w:r>
      <w:r w:rsidR="00ED0386">
        <w:t xml:space="preserve">covering </w:t>
      </w:r>
      <w:r w:rsidRPr="008B3C9E">
        <w:t xml:space="preserve">the so-called </w:t>
      </w:r>
      <w:r w:rsidR="008B3C9E">
        <w:t>‘</w:t>
      </w:r>
      <w:r w:rsidR="00424CC2">
        <w:t xml:space="preserve">stop of the </w:t>
      </w:r>
      <w:r w:rsidRPr="008B3C9E">
        <w:t>clock</w:t>
      </w:r>
      <w:r w:rsidR="008B3C9E">
        <w:t>’</w:t>
      </w:r>
      <w:r w:rsidRPr="008B3C9E">
        <w:t xml:space="preserve">), the evaluating body </w:t>
      </w:r>
      <w:r w:rsidR="003E7CF3">
        <w:t>must</w:t>
      </w:r>
      <w:r w:rsidRPr="008B3C9E">
        <w:t xml:space="preserve"> ask the applicant to submit </w:t>
      </w:r>
      <w:r w:rsidR="00A5604E">
        <w:t>additional</w:t>
      </w:r>
      <w:r w:rsidR="001507EE">
        <w:t xml:space="preserve"> </w:t>
      </w:r>
      <w:r w:rsidRPr="008B3C9E">
        <w:t>information within a specified time limit</w:t>
      </w:r>
      <w:r w:rsidR="00ED0386">
        <w:t xml:space="preserve"> where it </w:t>
      </w:r>
      <w:r w:rsidR="00ED0386" w:rsidRPr="008B3C9E">
        <w:t>considers that additional information is necessary</w:t>
      </w:r>
      <w:r w:rsidR="00ED0386">
        <w:t xml:space="preserve"> </w:t>
      </w:r>
      <w:r w:rsidR="00ED0386" w:rsidRPr="008B3C9E">
        <w:t>to carry out the evaluation</w:t>
      </w:r>
      <w:r w:rsidR="00145A6C">
        <w:t xml:space="preserve"> of </w:t>
      </w:r>
      <w:r w:rsidR="00424CC2">
        <w:t xml:space="preserve">a </w:t>
      </w:r>
      <w:r w:rsidR="00145A6C">
        <w:t xml:space="preserve">non-active substance in a </w:t>
      </w:r>
      <w:r w:rsidR="00424CC2">
        <w:t xml:space="preserve">biocidal </w:t>
      </w:r>
      <w:r w:rsidR="00145A6C">
        <w:t>product</w:t>
      </w:r>
      <w:r w:rsidR="002D4DD0">
        <w:t>, including information to determine whether the non-active substance can be considered to have ED properties</w:t>
      </w:r>
      <w:r w:rsidRPr="008B3C9E">
        <w:t>.</w:t>
      </w:r>
      <w:r w:rsidR="00145A6C">
        <w:t xml:space="preserve"> </w:t>
      </w:r>
    </w:p>
    <w:p w:rsidR="002E5F37" w:rsidRPr="008B3C9E" w:rsidRDefault="002E5F37" w:rsidP="002E5F37">
      <w:pPr>
        <w:pStyle w:val="ListNumber"/>
        <w:numPr>
          <w:ilvl w:val="0"/>
          <w:numId w:val="0"/>
        </w:numPr>
        <w:ind w:left="709"/>
      </w:pPr>
      <w:r w:rsidRPr="008B3C9E">
        <w:t>When setting such</w:t>
      </w:r>
      <w:r w:rsidR="00901C3C">
        <w:t xml:space="preserve"> a</w:t>
      </w:r>
      <w:r w:rsidRPr="008B3C9E">
        <w:t xml:space="preserve"> </w:t>
      </w:r>
      <w:r w:rsidR="00F961B1">
        <w:t xml:space="preserve">time </w:t>
      </w:r>
      <w:r w:rsidRPr="008B3C9E">
        <w:t>limit</w:t>
      </w:r>
      <w:r w:rsidR="00F961B1">
        <w:t xml:space="preserve"> to submit additional information</w:t>
      </w:r>
      <w:r w:rsidR="00424CC2">
        <w:rPr>
          <w:rStyle w:val="FootnoteReference"/>
        </w:rPr>
        <w:footnoteReference w:id="13"/>
      </w:r>
      <w:r w:rsidRPr="008B3C9E">
        <w:t xml:space="preserve">, the evaluating body </w:t>
      </w:r>
      <w:r w:rsidR="003E7CF3">
        <w:t>must</w:t>
      </w:r>
      <w:r w:rsidRPr="008B3C9E">
        <w:t xml:space="preserve"> carefully consider the time needed by the applicant</w:t>
      </w:r>
      <w:r w:rsidR="00880133">
        <w:rPr>
          <w:rStyle w:val="FootnoteReference"/>
        </w:rPr>
        <w:footnoteReference w:id="14"/>
      </w:r>
      <w:r w:rsidRPr="008B3C9E">
        <w:t xml:space="preserve"> to provide </w:t>
      </w:r>
      <w:r w:rsidR="00901C3C">
        <w:t xml:space="preserve">the </w:t>
      </w:r>
      <w:r w:rsidRPr="008B3C9E">
        <w:t xml:space="preserve">information, as well the time needed for its evaluation. This is essential to ensure that the authorisation process allows compatibility with the 3-year deadline laid down in Article 89(3) of the BPR for the authorisation of existing products </w:t>
      </w:r>
      <w:r w:rsidR="00917B84">
        <w:t xml:space="preserve">in </w:t>
      </w:r>
      <w:r w:rsidRPr="008B3C9E">
        <w:t>accord</w:t>
      </w:r>
      <w:r w:rsidR="00917B84">
        <w:t>ance with</w:t>
      </w:r>
      <w:r w:rsidRPr="008B3C9E">
        <w:t xml:space="preserve"> the BPR rules.</w:t>
      </w:r>
    </w:p>
    <w:p w:rsidR="00964D6F" w:rsidRPr="00152963" w:rsidRDefault="00964D6F" w:rsidP="00D82D7D">
      <w:pPr>
        <w:pStyle w:val="ListNumber"/>
      </w:pPr>
      <w:r w:rsidRPr="008B3C9E">
        <w:t xml:space="preserve">Should </w:t>
      </w:r>
      <w:r w:rsidR="00D82D7D" w:rsidRPr="008B3C9E">
        <w:t xml:space="preserve">the evaluating body </w:t>
      </w:r>
      <w:r w:rsidRPr="00152963">
        <w:t>consider</w:t>
      </w:r>
      <w:r w:rsidR="00D82D7D" w:rsidRPr="00152963">
        <w:t xml:space="preserve"> </w:t>
      </w:r>
      <w:r w:rsidR="00C35320" w:rsidRPr="00152963">
        <w:t xml:space="preserve">it necessary </w:t>
      </w:r>
      <w:r w:rsidR="00D82D7D" w:rsidRPr="00152963">
        <w:t>to requ</w:t>
      </w:r>
      <w:r w:rsidR="00D94330" w:rsidRPr="00152963">
        <w:t>ire</w:t>
      </w:r>
      <w:r w:rsidR="00D82D7D" w:rsidRPr="00152963">
        <w:t xml:space="preserve"> additional information</w:t>
      </w:r>
      <w:r w:rsidR="00C35320" w:rsidRPr="00152963">
        <w:t xml:space="preserve"> </w:t>
      </w:r>
      <w:r w:rsidR="00D82D7D" w:rsidRPr="00152963">
        <w:t xml:space="preserve">in order to determine whether a </w:t>
      </w:r>
      <w:r w:rsidR="009644CC" w:rsidRPr="00152963">
        <w:t>non-</w:t>
      </w:r>
      <w:r w:rsidR="00771102" w:rsidRPr="00152963">
        <w:t xml:space="preserve">active </w:t>
      </w:r>
      <w:r w:rsidR="00D82D7D" w:rsidRPr="00152963">
        <w:t xml:space="preserve">substance contained in a biocidal product has </w:t>
      </w:r>
      <w:r w:rsidRPr="00152963">
        <w:t>ED</w:t>
      </w:r>
      <w:r w:rsidR="00D82D7D" w:rsidRPr="00152963">
        <w:t xml:space="preserve"> properties</w:t>
      </w:r>
      <w:r w:rsidR="00AC677B" w:rsidRPr="00152963">
        <w:t xml:space="preserve"> (see paragraph </w:t>
      </w:r>
      <w:r w:rsidR="00FA0A5D" w:rsidRPr="00152963">
        <w:t>27</w:t>
      </w:r>
      <w:r w:rsidR="00AC677B" w:rsidRPr="00152963">
        <w:t>)</w:t>
      </w:r>
      <w:r w:rsidRPr="00152963">
        <w:t xml:space="preserve">, </w:t>
      </w:r>
      <w:r w:rsidR="00291D82" w:rsidRPr="00152963">
        <w:t>the evaluatin</w:t>
      </w:r>
      <w:r w:rsidR="00955A74" w:rsidRPr="00152963">
        <w:t>g</w:t>
      </w:r>
      <w:r w:rsidR="00291D82" w:rsidRPr="00152963">
        <w:t xml:space="preserve"> body</w:t>
      </w:r>
      <w:r w:rsidRPr="00152963">
        <w:t>:</w:t>
      </w:r>
    </w:p>
    <w:p w:rsidR="00D82D7D" w:rsidRPr="008B3C9E" w:rsidRDefault="003E7CF3" w:rsidP="00FF7E9B">
      <w:pPr>
        <w:pStyle w:val="ListNumberLevel2"/>
      </w:pPr>
      <w:r w:rsidRPr="00152963">
        <w:t>must</w:t>
      </w:r>
      <w:r w:rsidR="00D82D7D" w:rsidRPr="00152963">
        <w:t xml:space="preserve"> cooperate </w:t>
      </w:r>
      <w:r w:rsidR="00291D82" w:rsidRPr="00152963">
        <w:t>with the applicant</w:t>
      </w:r>
      <w:r w:rsidR="00291D82" w:rsidRPr="008B3C9E">
        <w:t xml:space="preserve"> </w:t>
      </w:r>
      <w:r w:rsidR="00D82D7D" w:rsidRPr="008B3C9E">
        <w:t>in order to identify at an early stage any additional studies required</w:t>
      </w:r>
      <w:r w:rsidR="00291D82" w:rsidRPr="008B3C9E">
        <w:t>, as well as provide the applicant with a reasonable period</w:t>
      </w:r>
      <w:r w:rsidR="009644CC" w:rsidRPr="008B3C9E">
        <w:rPr>
          <w:rStyle w:val="FootnoteReference"/>
        </w:rPr>
        <w:footnoteReference w:id="15"/>
      </w:r>
      <w:r w:rsidR="00291D82" w:rsidRPr="008B3C9E">
        <w:t xml:space="preserve"> </w:t>
      </w:r>
      <w:r w:rsidR="004A34B7">
        <w:t xml:space="preserve">in which </w:t>
      </w:r>
      <w:r w:rsidR="00291D82" w:rsidRPr="008B3C9E">
        <w:t>to submit the information (paragraph 11</w:t>
      </w:r>
      <w:r w:rsidR="00FF7E9B" w:rsidRPr="008B3C9E">
        <w:t xml:space="preserve"> of Annex VI to the BPR</w:t>
      </w:r>
      <w:r w:rsidR="00291D82" w:rsidRPr="008B3C9E">
        <w:t>)</w:t>
      </w:r>
      <w:r w:rsidR="004A34B7">
        <w:t>;</w:t>
      </w:r>
      <w:r w:rsidR="00D82D7D" w:rsidRPr="008B3C9E">
        <w:t xml:space="preserve">  </w:t>
      </w:r>
    </w:p>
    <w:p w:rsidR="00B34124" w:rsidRDefault="003E7CF3" w:rsidP="0080343C">
      <w:pPr>
        <w:pStyle w:val="ListNumberLevel2"/>
      </w:pPr>
      <w:r>
        <w:lastRenderedPageBreak/>
        <w:t>must</w:t>
      </w:r>
      <w:r w:rsidR="00964D6F" w:rsidRPr="008B3C9E">
        <w:t xml:space="preserve"> </w:t>
      </w:r>
      <w:r w:rsidR="0010267B" w:rsidRPr="008B3C9E">
        <w:t xml:space="preserve">request the minimum additional information </w:t>
      </w:r>
      <w:r w:rsidR="00964D6F" w:rsidRPr="008B3C9E">
        <w:t xml:space="preserve">necessary to </w:t>
      </w:r>
      <w:r w:rsidR="00EE0994" w:rsidRPr="008B3C9E">
        <w:t xml:space="preserve">complete the </w:t>
      </w:r>
      <w:r w:rsidR="001D2F3F">
        <w:t xml:space="preserve">evaluation </w:t>
      </w:r>
      <w:r w:rsidR="00EE0994" w:rsidRPr="008B3C9E">
        <w:t xml:space="preserve">according to </w:t>
      </w:r>
      <w:r w:rsidR="00964D6F" w:rsidRPr="008B3C9E">
        <w:t>the hazard profile of the substance under evaluation</w:t>
      </w:r>
      <w:r w:rsidR="00771102" w:rsidRPr="008B3C9E">
        <w:t xml:space="preserve"> </w:t>
      </w:r>
      <w:r w:rsidR="00291D82" w:rsidRPr="008B3C9E">
        <w:t>(paragraph 19</w:t>
      </w:r>
      <w:r w:rsidR="00FF7E9B" w:rsidRPr="008B3C9E">
        <w:t xml:space="preserve"> of Annex VI to the BPR</w:t>
      </w:r>
      <w:r w:rsidR="00291D82" w:rsidRPr="008B3C9E">
        <w:t>)</w:t>
      </w:r>
      <w:r w:rsidR="00291D82" w:rsidRPr="008B3C9E">
        <w:rPr>
          <w:rStyle w:val="FootnoteReference"/>
        </w:rPr>
        <w:footnoteReference w:id="16"/>
      </w:r>
      <w:r w:rsidR="004A34B7">
        <w:t>;</w:t>
      </w:r>
      <w:r w:rsidR="00291D82" w:rsidRPr="008B3C9E">
        <w:t xml:space="preserve"> </w:t>
      </w:r>
    </w:p>
    <w:p w:rsidR="00964D6F" w:rsidRPr="008B3C9E" w:rsidRDefault="00B34124" w:rsidP="0080343C">
      <w:pPr>
        <w:pStyle w:val="ListNumberLevel2"/>
      </w:pPr>
      <w:r>
        <w:t xml:space="preserve">when the new relevant information </w:t>
      </w:r>
      <w:r w:rsidRPr="006B0D39">
        <w:t xml:space="preserve">is </w:t>
      </w:r>
      <w:r>
        <w:t xml:space="preserve">only </w:t>
      </w:r>
      <w:r w:rsidRPr="006B0D39">
        <w:t xml:space="preserve">available </w:t>
      </w:r>
      <w:r>
        <w:t>3 months</w:t>
      </w:r>
      <w:r w:rsidRPr="006B0D39">
        <w:t xml:space="preserve"> before the </w:t>
      </w:r>
      <w:r>
        <w:t xml:space="preserve">365-day </w:t>
      </w:r>
      <w:r w:rsidRPr="006B0D39">
        <w:t>deadline for the assessment</w:t>
      </w:r>
      <w:r>
        <w:t xml:space="preserve"> of the application, that information should considered as having become available afterwards</w:t>
      </w:r>
      <w:r>
        <w:rPr>
          <w:rStyle w:val="FootnoteReference"/>
        </w:rPr>
        <w:footnoteReference w:id="17"/>
      </w:r>
      <w:r>
        <w:t>;</w:t>
      </w:r>
    </w:p>
    <w:p w:rsidR="00D82D7D" w:rsidRPr="008B3C9E" w:rsidRDefault="004A34B7" w:rsidP="0080343C">
      <w:pPr>
        <w:pStyle w:val="ListNumberLevel2"/>
      </w:pPr>
      <w:r>
        <w:t>m</w:t>
      </w:r>
      <w:r w:rsidR="00D82D7D" w:rsidRPr="008B3C9E">
        <w:t xml:space="preserve">ay </w:t>
      </w:r>
      <w:r w:rsidR="00321E0E">
        <w:t>ask advic</w:t>
      </w:r>
      <w:r w:rsidR="0029357A">
        <w:t>e of ECHA's Endocrine Disruptor Expert Group.</w:t>
      </w:r>
    </w:p>
    <w:p w:rsidR="006E50DE" w:rsidRDefault="006E50DE" w:rsidP="006E50DE">
      <w:pPr>
        <w:pStyle w:val="ListNumber"/>
      </w:pPr>
      <w:r>
        <w:t>In case the applicant fails to submit the required information within the required timeframe without valid justification, the evaluating body may</w:t>
      </w:r>
      <w:r w:rsidR="00933194">
        <w:t xml:space="preserve"> reject the application or </w:t>
      </w:r>
      <w:r>
        <w:t xml:space="preserve"> propose a non-authorisation</w:t>
      </w:r>
      <w:r w:rsidR="00933194">
        <w:rPr>
          <w:rStyle w:val="FootnoteReference"/>
        </w:rPr>
        <w:footnoteReference w:id="18"/>
      </w:r>
      <w:r>
        <w:t xml:space="preserve"> </w:t>
      </w:r>
      <w:r w:rsidR="00933194">
        <w:t xml:space="preserve">in accordance with </w:t>
      </w:r>
      <w:r>
        <w:t>Articles 26(4), 30(2) and 4</w:t>
      </w:r>
      <w:r w:rsidR="00AC677B">
        <w:t>4(2)</w:t>
      </w:r>
      <w:r>
        <w:t>) of the BPR.</w:t>
      </w:r>
    </w:p>
    <w:p w:rsidR="00AC677B" w:rsidRPr="008B3C9E" w:rsidRDefault="00AC677B" w:rsidP="00AC677B">
      <w:pPr>
        <w:pStyle w:val="ListNumber"/>
      </w:pPr>
      <w:r w:rsidRPr="008B3C9E">
        <w:t>The evaluating body may also consider in its evaluation other information available to it on the non-active substance(s) under assessment</w:t>
      </w:r>
      <w:r>
        <w:t xml:space="preserve"> provided that it is</w:t>
      </w:r>
      <w:r w:rsidRPr="008B3C9E">
        <w:t xml:space="preserve"> used in compliance with Article 59(1) of the BPR.</w:t>
      </w:r>
      <w:r>
        <w:t xml:space="preserve"> </w:t>
      </w:r>
    </w:p>
    <w:p w:rsidR="002926F2" w:rsidRPr="008B3C9E" w:rsidRDefault="00203DA6" w:rsidP="002926F2">
      <w:pPr>
        <w:pStyle w:val="ListNumber"/>
      </w:pPr>
      <w:r w:rsidRPr="008B3C9E">
        <w:t xml:space="preserve">It is important to note that the </w:t>
      </w:r>
      <w:r w:rsidR="00625FEB" w:rsidRPr="008B3C9E">
        <w:t xml:space="preserve">ED properties </w:t>
      </w:r>
      <w:r w:rsidR="00625FEB">
        <w:t xml:space="preserve">of the </w:t>
      </w:r>
      <w:r w:rsidRPr="008B3C9E">
        <w:t xml:space="preserve">same non-active substance might </w:t>
      </w:r>
      <w:r w:rsidR="00625FEB">
        <w:t xml:space="preserve">also </w:t>
      </w:r>
      <w:r w:rsidRPr="008B3C9E">
        <w:t xml:space="preserve">be subject to examination under </w:t>
      </w:r>
      <w:r w:rsidR="00625FEB">
        <w:t>an</w:t>
      </w:r>
      <w:r w:rsidRPr="008B3C9E">
        <w:t>other legal framework (e.g. REACH</w:t>
      </w:r>
      <w:r w:rsidR="001507EE">
        <w:rPr>
          <w:rStyle w:val="FootnoteReference"/>
        </w:rPr>
        <w:footnoteReference w:id="19"/>
      </w:r>
      <w:r w:rsidRPr="008B3C9E">
        <w:t>).</w:t>
      </w:r>
      <w:r w:rsidR="00625FEB" w:rsidRPr="00625FEB">
        <w:rPr>
          <w:u w:val="single"/>
        </w:rPr>
        <w:t xml:space="preserve"> </w:t>
      </w:r>
      <w:r w:rsidR="00625FEB">
        <w:rPr>
          <w:u w:val="single"/>
        </w:rPr>
        <w:t>I</w:t>
      </w:r>
      <w:r w:rsidR="00625FEB" w:rsidRPr="007B1ADE">
        <w:rPr>
          <w:u w:val="single"/>
        </w:rPr>
        <w:t>n order to avoid duplication</w:t>
      </w:r>
      <w:r w:rsidR="00AE5E1B">
        <w:rPr>
          <w:u w:val="single"/>
        </w:rPr>
        <w:t xml:space="preserve"> of similar evaluating activities</w:t>
      </w:r>
      <w:r w:rsidR="00625FEB" w:rsidRPr="007B1ADE">
        <w:rPr>
          <w:u w:val="single"/>
        </w:rPr>
        <w:t xml:space="preserve"> and ensure consistency between the possible conclusions on the ED properties under two legal frameworks</w:t>
      </w:r>
      <w:r w:rsidR="0062591B">
        <w:rPr>
          <w:u w:val="single"/>
        </w:rPr>
        <w:t>,</w:t>
      </w:r>
      <w:r w:rsidR="00625FEB">
        <w:rPr>
          <w:u w:val="single"/>
        </w:rPr>
        <w:t xml:space="preserve"> </w:t>
      </w:r>
      <w:r w:rsidR="00625FEB">
        <w:t>w</w:t>
      </w:r>
      <w:r w:rsidR="0091364A" w:rsidRPr="008B3C9E">
        <w:t xml:space="preserve">here an evaluating body considers that a non-active substance should be further investigated to </w:t>
      </w:r>
      <w:r w:rsidR="00625FEB">
        <w:t xml:space="preserve">establish </w:t>
      </w:r>
      <w:r w:rsidR="0091364A" w:rsidRPr="008B3C9E">
        <w:t>whether it is an ED</w:t>
      </w:r>
      <w:r w:rsidRPr="008B3C9E">
        <w:t>,</w:t>
      </w:r>
      <w:r w:rsidR="005A56DC" w:rsidRPr="008B3C9E">
        <w:t xml:space="preserve"> </w:t>
      </w:r>
      <w:r w:rsidR="002926F2" w:rsidRPr="008B3C9E">
        <w:t>it is proposed</w:t>
      </w:r>
      <w:r w:rsidR="005A56DC" w:rsidRPr="008B3C9E">
        <w:t xml:space="preserve"> that the evaluating body</w:t>
      </w:r>
      <w:r w:rsidR="002926F2" w:rsidRPr="008B3C9E">
        <w:t>:</w:t>
      </w:r>
    </w:p>
    <w:p w:rsidR="00F62998" w:rsidRPr="008B3C9E" w:rsidRDefault="00625FEB" w:rsidP="0047525D">
      <w:pPr>
        <w:pStyle w:val="ListNumberLevel2"/>
      </w:pPr>
      <w:r>
        <w:t>c</w:t>
      </w:r>
      <w:r w:rsidR="002926F2" w:rsidRPr="008B3C9E">
        <w:t>heck</w:t>
      </w:r>
      <w:r w:rsidR="005A56DC" w:rsidRPr="008B3C9E">
        <w:t>s</w:t>
      </w:r>
      <w:r w:rsidR="002926F2" w:rsidRPr="008B3C9E">
        <w:t xml:space="preserve"> whether the non-active substance </w:t>
      </w:r>
      <w:r>
        <w:t>in question</w:t>
      </w:r>
      <w:r w:rsidR="002926F2" w:rsidRPr="008B3C9E">
        <w:t xml:space="preserve"> is already subject to an on-going evaluation in accordance with </w:t>
      </w:r>
      <w:r w:rsidR="0091364A" w:rsidRPr="008B3C9E">
        <w:t xml:space="preserve">the procedure laid down under Article </w:t>
      </w:r>
      <w:r w:rsidR="00FB370C" w:rsidRPr="008B3C9E">
        <w:t xml:space="preserve">59 </w:t>
      </w:r>
      <w:r w:rsidR="0091364A" w:rsidRPr="008B3C9E">
        <w:t xml:space="preserve">of </w:t>
      </w:r>
      <w:r w:rsidR="001B7B66" w:rsidRPr="008B3C9E">
        <w:t>Regulation (EC) No 1907/2006</w:t>
      </w:r>
      <w:r w:rsidR="0091364A" w:rsidRPr="008B3C9E">
        <w:t xml:space="preserve"> (REACH)</w:t>
      </w:r>
      <w:r w:rsidR="00EB2E01">
        <w:rPr>
          <w:rStyle w:val="FootnoteReference"/>
        </w:rPr>
        <w:footnoteReference w:id="20"/>
      </w:r>
      <w:r w:rsidR="0047525D" w:rsidRPr="008B3C9E">
        <w:t>,</w:t>
      </w:r>
      <w:r>
        <w:t xml:space="preserve"> and</w:t>
      </w:r>
    </w:p>
    <w:p w:rsidR="0047525D" w:rsidRPr="008B3C9E" w:rsidRDefault="00625FEB" w:rsidP="0047525D">
      <w:pPr>
        <w:pStyle w:val="ListNumberLevel2"/>
      </w:pPr>
      <w:r>
        <w:t>i</w:t>
      </w:r>
      <w:r w:rsidR="0047525D" w:rsidRPr="008B3C9E">
        <w:t xml:space="preserve">f </w:t>
      </w:r>
      <w:r w:rsidR="00AD0DF9">
        <w:t xml:space="preserve">it is </w:t>
      </w:r>
      <w:r w:rsidR="0047525D" w:rsidRPr="008B3C9E">
        <w:t>not</w:t>
      </w:r>
      <w:r w:rsidR="00AD0DF9">
        <w:t xml:space="preserve"> subject to</w:t>
      </w:r>
      <w:r w:rsidR="00AD0DF9" w:rsidRPr="00AD0DF9">
        <w:t xml:space="preserve"> </w:t>
      </w:r>
      <w:r w:rsidR="00AD0DF9">
        <w:t xml:space="preserve">an </w:t>
      </w:r>
      <w:r w:rsidR="00AD0DF9" w:rsidRPr="008B3C9E">
        <w:t>on-going evaluation</w:t>
      </w:r>
      <w:r w:rsidR="00AD0DF9">
        <w:t xml:space="preserve"> </w:t>
      </w:r>
      <w:r w:rsidR="00106A0D">
        <w:t xml:space="preserve">in accordance with Article 59 of </w:t>
      </w:r>
      <w:r w:rsidR="00AD0DF9">
        <w:t xml:space="preserve"> REACH</w:t>
      </w:r>
      <w:r w:rsidR="0047525D" w:rsidRPr="008B3C9E">
        <w:t xml:space="preserve">, </w:t>
      </w:r>
      <w:r w:rsidR="00AD0DF9">
        <w:t xml:space="preserve">should </w:t>
      </w:r>
      <w:r w:rsidR="0047525D" w:rsidRPr="008B3C9E">
        <w:t>consider</w:t>
      </w:r>
      <w:r>
        <w:t>,</w:t>
      </w:r>
      <w:r w:rsidR="0047525D" w:rsidRPr="008B3C9E">
        <w:t xml:space="preserve"> with the </w:t>
      </w:r>
      <w:r w:rsidR="00AE5E1B">
        <w:t xml:space="preserve">competent authority in its member State  </w:t>
      </w:r>
      <w:r w:rsidR="0047525D" w:rsidRPr="008B3C9E">
        <w:t xml:space="preserve"> </w:t>
      </w:r>
      <w:r w:rsidR="0080759C" w:rsidRPr="008B3C9E">
        <w:lastRenderedPageBreak/>
        <w:t xml:space="preserve">responsible </w:t>
      </w:r>
      <w:r w:rsidR="0047525D" w:rsidRPr="008B3C9E">
        <w:t>for REACH</w:t>
      </w:r>
      <w:r>
        <w:t>,</w:t>
      </w:r>
      <w:r w:rsidR="0047525D" w:rsidRPr="008B3C9E">
        <w:t xml:space="preserve"> the suitability of triggering the above-mentioned procedure</w:t>
      </w:r>
      <w:r w:rsidR="00224FBC">
        <w:t xml:space="preserve"> of REACH</w:t>
      </w:r>
      <w:r w:rsidR="00224FBC">
        <w:rPr>
          <w:rStyle w:val="FootnoteReference"/>
        </w:rPr>
        <w:footnoteReference w:id="21"/>
      </w:r>
      <w:r w:rsidR="00C35320" w:rsidRPr="008B3C9E">
        <w:t xml:space="preserve"> and conclude whether this procedure can replace the biocides procedure described in paragraph</w:t>
      </w:r>
      <w:r w:rsidR="001B4CC1">
        <w:t>s</w:t>
      </w:r>
      <w:r w:rsidR="00C35320" w:rsidRPr="008B3C9E">
        <w:t xml:space="preserve"> </w:t>
      </w:r>
      <w:r w:rsidR="00A5604E" w:rsidRPr="00AC677B">
        <w:t>2</w:t>
      </w:r>
      <w:r w:rsidR="001B4CC1" w:rsidRPr="007A4D90">
        <w:t>3-30</w:t>
      </w:r>
      <w:r w:rsidR="0047525D" w:rsidRPr="008B3C9E">
        <w:t>.</w:t>
      </w:r>
      <w:r w:rsidR="00592567">
        <w:rPr>
          <w:rStyle w:val="FootnoteReference"/>
        </w:rPr>
        <w:footnoteReference w:id="22"/>
      </w:r>
    </w:p>
    <w:p w:rsidR="00830DBD" w:rsidRDefault="00830DBD" w:rsidP="00451CFA">
      <w:pPr>
        <w:pStyle w:val="ListNumber"/>
      </w:pPr>
      <w:r>
        <w:t xml:space="preserve">In accordance with paragraph </w:t>
      </w:r>
      <w:r w:rsidR="00AC677B">
        <w:t>28</w:t>
      </w:r>
      <w:r>
        <w:t xml:space="preserve"> the evaluating body must ask the applicant to submit additional information where it considers it is necessary to carry out the evaluation. </w:t>
      </w:r>
      <w:r w:rsidR="00DD0BD5">
        <w:t xml:space="preserve">The provisions on data protection and data-sharing in in Chapter XIV of the BPR </w:t>
      </w:r>
      <w:r w:rsidR="00EE7112">
        <w:t xml:space="preserve">allow </w:t>
      </w:r>
      <w:r w:rsidR="00FD6BD9">
        <w:t xml:space="preserve">the evaluating body </w:t>
      </w:r>
      <w:r w:rsidR="00EE7112">
        <w:t xml:space="preserve">to use this type of information </w:t>
      </w:r>
      <w:r>
        <w:t xml:space="preserve">for </w:t>
      </w:r>
      <w:r w:rsidR="00EE7112">
        <w:t xml:space="preserve">the same applicant in </w:t>
      </w:r>
      <w:r>
        <w:t xml:space="preserve">the procedure under REACH described in paragraph </w:t>
      </w:r>
      <w:r w:rsidR="001B4CC1">
        <w:t>3</w:t>
      </w:r>
      <w:r w:rsidR="007F771C">
        <w:t>1</w:t>
      </w:r>
      <w:r>
        <w:t>.</w:t>
      </w:r>
    </w:p>
    <w:p w:rsidR="00BF6D88" w:rsidRPr="008B3C9E" w:rsidRDefault="005A56DC" w:rsidP="00451CFA">
      <w:pPr>
        <w:pStyle w:val="ListNumber"/>
      </w:pPr>
      <w:r w:rsidRPr="008B3C9E">
        <w:t>Where the</w:t>
      </w:r>
      <w:r w:rsidR="0047525D" w:rsidRPr="008B3C9E">
        <w:t xml:space="preserve">re is an on-going REACH </w:t>
      </w:r>
      <w:r w:rsidR="0062765D">
        <w:t xml:space="preserve">or BPR </w:t>
      </w:r>
      <w:r w:rsidR="0047525D" w:rsidRPr="008B3C9E">
        <w:t xml:space="preserve">procedure </w:t>
      </w:r>
      <w:r w:rsidR="00FD6BD9">
        <w:t xml:space="preserve">for a given non-active substance </w:t>
      </w:r>
      <w:r w:rsidR="0047525D" w:rsidRPr="008B3C9E">
        <w:t xml:space="preserve">or </w:t>
      </w:r>
      <w:r w:rsidR="00D1784C">
        <w:t>where a</w:t>
      </w:r>
      <w:r w:rsidR="00EE0994" w:rsidRPr="008B3C9E">
        <w:t xml:space="preserve"> MS </w:t>
      </w:r>
      <w:r w:rsidR="00D1784C">
        <w:t xml:space="preserve">decides </w:t>
      </w:r>
      <w:r w:rsidR="0047525D" w:rsidRPr="008B3C9E">
        <w:t>to trigger</w:t>
      </w:r>
      <w:r w:rsidRPr="008B3C9E">
        <w:t xml:space="preserve"> </w:t>
      </w:r>
      <w:r w:rsidR="0047525D" w:rsidRPr="008B3C9E">
        <w:t xml:space="preserve">a REACH </w:t>
      </w:r>
      <w:r w:rsidR="00E72ACF">
        <w:t>or BPR</w:t>
      </w:r>
      <w:r w:rsidR="001F51B4">
        <w:rPr>
          <w:rStyle w:val="FootnoteReference"/>
        </w:rPr>
        <w:footnoteReference w:id="23"/>
      </w:r>
      <w:r w:rsidR="00E72ACF">
        <w:t xml:space="preserve"> </w:t>
      </w:r>
      <w:r w:rsidR="0047525D" w:rsidRPr="008B3C9E">
        <w:t>procedure</w:t>
      </w:r>
      <w:r w:rsidR="0017263E">
        <w:t xml:space="preserve"> as described above in this section of the note</w:t>
      </w:r>
      <w:r w:rsidR="00C35320" w:rsidRPr="008B3C9E">
        <w:t>,</w:t>
      </w:r>
      <w:r w:rsidR="0047525D" w:rsidRPr="008B3C9E">
        <w:t xml:space="preserve"> </w:t>
      </w:r>
      <w:r w:rsidRPr="008B3C9E">
        <w:t>and c</w:t>
      </w:r>
      <w:r w:rsidR="00BF6D88" w:rsidRPr="008B3C9E">
        <w:t>onsidering that:</w:t>
      </w:r>
    </w:p>
    <w:p w:rsidR="00BF6D88" w:rsidRPr="008B3C9E" w:rsidRDefault="00F137D2" w:rsidP="00BF6D88">
      <w:pPr>
        <w:pStyle w:val="ListNumberLevel2"/>
      </w:pPr>
      <w:r>
        <w:t xml:space="preserve">When </w:t>
      </w:r>
      <w:r w:rsidR="00D1784C">
        <w:t>w</w:t>
      </w:r>
      <w:r w:rsidR="002117D6" w:rsidRPr="008B3C9E">
        <w:t>aiting for the outcome of the</w:t>
      </w:r>
      <w:r w:rsidR="007807AC" w:rsidRPr="008B3C9E">
        <w:t xml:space="preserve"> REACH</w:t>
      </w:r>
      <w:r w:rsidR="00451CFA" w:rsidRPr="008B3C9E">
        <w:t xml:space="preserve"> </w:t>
      </w:r>
      <w:r w:rsidR="0062765D">
        <w:t xml:space="preserve">or BPR </w:t>
      </w:r>
      <w:r w:rsidR="00451CFA" w:rsidRPr="008B3C9E">
        <w:t xml:space="preserve">procedure </w:t>
      </w:r>
      <w:r w:rsidR="00D94330">
        <w:t>w</w:t>
      </w:r>
      <w:r w:rsidR="00D1784C">
        <w:t>ould</w:t>
      </w:r>
      <w:r w:rsidR="005A56DC" w:rsidRPr="008B3C9E">
        <w:t xml:space="preserve"> </w:t>
      </w:r>
      <w:r w:rsidR="00451CFA" w:rsidRPr="008B3C9E">
        <w:t xml:space="preserve">be incompatible </w:t>
      </w:r>
      <w:r w:rsidR="002117D6" w:rsidRPr="008B3C9E">
        <w:t xml:space="preserve">with </w:t>
      </w:r>
      <w:r w:rsidR="00451CFA" w:rsidRPr="008B3C9E">
        <w:t xml:space="preserve">the legal deadlines for </w:t>
      </w:r>
      <w:r w:rsidR="009644CC" w:rsidRPr="008B3C9E">
        <w:t>the evaluation of the application</w:t>
      </w:r>
      <w:r w:rsidR="00F62998" w:rsidRPr="008B3C9E">
        <w:t xml:space="preserve"> for authorisation of the biocidal product</w:t>
      </w:r>
      <w:r w:rsidR="00D1784C">
        <w:t>,</w:t>
      </w:r>
      <w:r w:rsidR="009644CC" w:rsidRPr="008B3C9E">
        <w:t xml:space="preserve"> </w:t>
      </w:r>
      <w:r w:rsidR="00451CFA" w:rsidRPr="008B3C9E">
        <w:t>and</w:t>
      </w:r>
      <w:r w:rsidR="00F62998" w:rsidRPr="008B3C9E">
        <w:t xml:space="preserve"> that</w:t>
      </w:r>
    </w:p>
    <w:p w:rsidR="00BF6D88" w:rsidRPr="008B3C9E" w:rsidRDefault="00C5613B" w:rsidP="00BF6D88">
      <w:pPr>
        <w:pStyle w:val="ListNumberLevel2"/>
      </w:pPr>
      <w:r>
        <w:t>T</w:t>
      </w:r>
      <w:r w:rsidR="00451CFA" w:rsidRPr="008B3C9E">
        <w:t xml:space="preserve">he BPR provides for some options allowing MSs or the Commission (in </w:t>
      </w:r>
      <w:r w:rsidR="00D1784C">
        <w:t xml:space="preserve">the </w:t>
      </w:r>
      <w:r w:rsidR="00451CFA" w:rsidRPr="008B3C9E">
        <w:t>case of U</w:t>
      </w:r>
      <w:r w:rsidR="00D1784C">
        <w:t xml:space="preserve">nion </w:t>
      </w:r>
      <w:r w:rsidR="008B1ACD">
        <w:t>a</w:t>
      </w:r>
      <w:r w:rsidR="00D1784C">
        <w:t>uthorisation</w:t>
      </w:r>
      <w:r w:rsidR="00451CFA" w:rsidRPr="008B3C9E">
        <w:t xml:space="preserve">) to address the assessment of the non-active substances against the ED criteria </w:t>
      </w:r>
      <w:r w:rsidR="007F3CD7" w:rsidRPr="008B3C9E">
        <w:t>once the evaluation phase is closed</w:t>
      </w:r>
      <w:r w:rsidR="007B1941" w:rsidRPr="008B3C9E">
        <w:t xml:space="preserve"> (see sections 2.2 and 2.3 below)</w:t>
      </w:r>
      <w:r w:rsidR="00451CFA" w:rsidRPr="008B3C9E">
        <w:t>,</w:t>
      </w:r>
    </w:p>
    <w:p w:rsidR="00451CFA" w:rsidRDefault="00F62998" w:rsidP="00BF6D88">
      <w:pPr>
        <w:pStyle w:val="ListNumber"/>
        <w:numPr>
          <w:ilvl w:val="0"/>
          <w:numId w:val="0"/>
        </w:numPr>
        <w:ind w:left="709"/>
      </w:pPr>
      <w:r w:rsidRPr="008B3C9E">
        <w:t>i</w:t>
      </w:r>
      <w:r w:rsidR="00451CFA" w:rsidRPr="008B3C9E">
        <w:t xml:space="preserve">t is proposed that the </w:t>
      </w:r>
      <w:r w:rsidR="00E9020D" w:rsidRPr="008B3C9E">
        <w:t>evaluating body</w:t>
      </w:r>
      <w:r w:rsidR="00451CFA" w:rsidRPr="008B3C9E">
        <w:t xml:space="preserve"> </w:t>
      </w:r>
      <w:r w:rsidR="001F51B4">
        <w:t xml:space="preserve">closes the evaluation phase and </w:t>
      </w:r>
      <w:r w:rsidR="00451CFA" w:rsidRPr="008B3C9E">
        <w:t xml:space="preserve">moves forward </w:t>
      </w:r>
      <w:r w:rsidR="00E9020D" w:rsidRPr="008B3C9E">
        <w:t>to the next step in the authorisation procedure</w:t>
      </w:r>
      <w:r w:rsidR="00BF6D88" w:rsidRPr="008B3C9E">
        <w:t xml:space="preserve"> (e.g. mutual recognition</w:t>
      </w:r>
      <w:r w:rsidR="001F51B4">
        <w:t>, peer review</w:t>
      </w:r>
      <w:r w:rsidR="00BF6D88" w:rsidRPr="008B3C9E">
        <w:t xml:space="preserve"> or granting the authorisation, as appropriate)</w:t>
      </w:r>
      <w:r w:rsidR="002117D6" w:rsidRPr="008B3C9E">
        <w:t>.</w:t>
      </w:r>
    </w:p>
    <w:p w:rsidR="009C0415" w:rsidRPr="008B3C9E" w:rsidRDefault="009C0415" w:rsidP="009C0415">
      <w:pPr>
        <w:pStyle w:val="ListNumber"/>
      </w:pPr>
      <w:r>
        <w:t xml:space="preserve">In such cases for which a procedure to determine the ED properties of a non-active substance will </w:t>
      </w:r>
      <w:r w:rsidR="008E54B0" w:rsidRPr="00B425B0">
        <w:t xml:space="preserve">not </w:t>
      </w:r>
      <w:r w:rsidRPr="00B425B0">
        <w:t xml:space="preserve">be concluded </w:t>
      </w:r>
      <w:r w:rsidR="008E54B0" w:rsidRPr="00B425B0">
        <w:t xml:space="preserve">before </w:t>
      </w:r>
      <w:r w:rsidRPr="00B425B0">
        <w:t xml:space="preserve">the </w:t>
      </w:r>
      <w:r w:rsidR="008E54B0" w:rsidRPr="00B425B0">
        <w:t xml:space="preserve">legal deadline for </w:t>
      </w:r>
      <w:r w:rsidRPr="00B425B0">
        <w:t xml:space="preserve">product </w:t>
      </w:r>
      <w:r w:rsidR="008E54B0" w:rsidRPr="00B425B0">
        <w:t>authorisation</w:t>
      </w:r>
      <w:r w:rsidRPr="00B425B0">
        <w:t>, the provisions in section 2.</w:t>
      </w:r>
      <w:r w:rsidR="00AC677B">
        <w:t>2</w:t>
      </w:r>
      <w:r w:rsidRPr="00B425B0">
        <w:t xml:space="preserve"> of this draft note will apply</w:t>
      </w:r>
      <w:r w:rsidRPr="00596661">
        <w:t>.</w:t>
      </w:r>
      <w:r w:rsidR="0017263E" w:rsidRPr="00596661">
        <w:t xml:space="preserve"> In the product assessment report </w:t>
      </w:r>
      <w:r w:rsidR="00C5613B" w:rsidRPr="001B4CC1">
        <w:t>(PAR)</w:t>
      </w:r>
      <w:r w:rsidR="00F36704">
        <w:t xml:space="preserve"> it</w:t>
      </w:r>
      <w:r w:rsidR="00C5613B">
        <w:t xml:space="preserve"> </w:t>
      </w:r>
      <w:r w:rsidR="0017263E" w:rsidRPr="00596661">
        <w:t xml:space="preserve">should be stated </w:t>
      </w:r>
      <w:r w:rsidR="00387D11" w:rsidRPr="00596661">
        <w:t xml:space="preserve">that it was not possible to conclude whether the non-active substance </w:t>
      </w:r>
      <w:r w:rsidR="00530B30">
        <w:t xml:space="preserve">should be considered to </w:t>
      </w:r>
      <w:r w:rsidR="00387D11" w:rsidRPr="00596661">
        <w:t>have ED properties be</w:t>
      </w:r>
      <w:r w:rsidR="0004682F" w:rsidRPr="00596661">
        <w:t xml:space="preserve">fore the expiration of </w:t>
      </w:r>
      <w:r w:rsidR="00387D11" w:rsidRPr="00596661">
        <w:lastRenderedPageBreak/>
        <w:t>the legal deadline in the BPR</w:t>
      </w:r>
      <w:r w:rsidR="00387D11" w:rsidRPr="00B425B0">
        <w:rPr>
          <w:rStyle w:val="FootnoteReference"/>
        </w:rPr>
        <w:footnoteReference w:id="24"/>
      </w:r>
      <w:r w:rsidR="00387D11" w:rsidRPr="00B425B0">
        <w:t xml:space="preserve"> and therefore </w:t>
      </w:r>
      <w:r w:rsidR="0004682F" w:rsidRPr="00B425B0">
        <w:t xml:space="preserve">the process </w:t>
      </w:r>
      <w:r w:rsidR="00387D11" w:rsidRPr="00B425B0">
        <w:t xml:space="preserve">will </w:t>
      </w:r>
      <w:r w:rsidR="008E54B0" w:rsidRPr="00B425B0">
        <w:t>be concluded</w:t>
      </w:r>
      <w:r w:rsidR="0004682F" w:rsidRPr="008B6EE4">
        <w:t xml:space="preserve"> </w:t>
      </w:r>
      <w:r w:rsidR="008E54B0" w:rsidRPr="008B6EE4">
        <w:t xml:space="preserve">at the </w:t>
      </w:r>
      <w:r w:rsidR="00387D11" w:rsidRPr="008B6EE4">
        <w:t>post-aut</w:t>
      </w:r>
      <w:r w:rsidR="00387D11">
        <w:t>horisation</w:t>
      </w:r>
      <w:r w:rsidR="008E54B0">
        <w:t xml:space="preserve"> stage</w:t>
      </w:r>
      <w:r w:rsidR="00387D11">
        <w:t>.</w:t>
      </w:r>
    </w:p>
    <w:p w:rsidR="008C4050" w:rsidRPr="00152963" w:rsidRDefault="008B6EE4" w:rsidP="008C4050">
      <w:pPr>
        <w:pStyle w:val="ListNumber"/>
      </w:pPr>
      <w:r w:rsidRPr="00152963">
        <w:t xml:space="preserve">In all other cases, </w:t>
      </w:r>
      <w:r w:rsidR="008C4050" w:rsidRPr="00152963">
        <w:rPr>
          <w:szCs w:val="24"/>
        </w:rPr>
        <w:t>in t</w:t>
      </w:r>
      <w:r w:rsidR="008C4050" w:rsidRPr="00152963">
        <w:t>he PAR</w:t>
      </w:r>
      <w:r w:rsidR="008560D9" w:rsidRPr="00152963">
        <w:t>,</w:t>
      </w:r>
      <w:r w:rsidR="008C4050" w:rsidRPr="00152963">
        <w:t xml:space="preserve"> it has to be </w:t>
      </w:r>
      <w:r w:rsidR="001E011C" w:rsidRPr="00152963">
        <w:t>determined</w:t>
      </w:r>
      <w:r w:rsidR="008C4050" w:rsidRPr="00152963">
        <w:t xml:space="preserve"> </w:t>
      </w:r>
      <w:r w:rsidR="00530B30" w:rsidRPr="00152963">
        <w:t xml:space="preserve">whether </w:t>
      </w:r>
      <w:r w:rsidR="008C4050" w:rsidRPr="00152963">
        <w:t xml:space="preserve">a biocidal product </w:t>
      </w:r>
      <w:r w:rsidR="00530B30" w:rsidRPr="00152963">
        <w:t xml:space="preserve">should </w:t>
      </w:r>
      <w:r w:rsidR="008C4050" w:rsidRPr="00152963">
        <w:t xml:space="preserve">be considered to have ED properties or not </w:t>
      </w:r>
      <w:r w:rsidR="008560D9" w:rsidRPr="00152963">
        <w:t>according to the scientific criteria set out in Regulation (EU) 2017/2100</w:t>
      </w:r>
      <w:r w:rsidR="008C4050" w:rsidRPr="00152963">
        <w:t xml:space="preserve">. </w:t>
      </w:r>
      <w:r w:rsidR="008560D9" w:rsidRPr="00152963">
        <w:t xml:space="preserve">ECHA and EFSA are developing a guidance document for the implementation of these criteria. </w:t>
      </w:r>
      <w:r w:rsidR="008C4050" w:rsidRPr="00152963">
        <w:t xml:space="preserve">Taking into account this context, the evaluating body </w:t>
      </w:r>
      <w:r w:rsidR="00530B30" w:rsidRPr="00152963">
        <w:t xml:space="preserve">should conclude </w:t>
      </w:r>
      <w:r w:rsidR="008C4050" w:rsidRPr="00152963">
        <w:rPr>
          <w:szCs w:val="24"/>
        </w:rPr>
        <w:t xml:space="preserve">on the basis of the information </w:t>
      </w:r>
      <w:r w:rsidR="008560D9" w:rsidRPr="00152963">
        <w:rPr>
          <w:szCs w:val="24"/>
        </w:rPr>
        <w:t>available</w:t>
      </w:r>
      <w:r w:rsidR="007F771C" w:rsidRPr="00152963">
        <w:rPr>
          <w:szCs w:val="24"/>
        </w:rPr>
        <w:t xml:space="preserve"> </w:t>
      </w:r>
      <w:r w:rsidR="007F771C" w:rsidRPr="00152963">
        <w:rPr>
          <w:szCs w:val="24"/>
          <w:u w:val="single"/>
        </w:rPr>
        <w:t>whether</w:t>
      </w:r>
      <w:r w:rsidR="007F771C" w:rsidRPr="00152963">
        <w:rPr>
          <w:u w:val="single"/>
        </w:rPr>
        <w:t xml:space="preserve"> the biocidal product </w:t>
      </w:r>
      <w:r w:rsidR="007F771C" w:rsidRPr="00152963">
        <w:rPr>
          <w:szCs w:val="24"/>
          <w:u w:val="single"/>
        </w:rPr>
        <w:t>should be considered to</w:t>
      </w:r>
      <w:r w:rsidR="007F771C" w:rsidRPr="00152963">
        <w:rPr>
          <w:u w:val="single"/>
        </w:rPr>
        <w:t xml:space="preserve"> have ED properties or </w:t>
      </w:r>
      <w:r w:rsidR="007F771C" w:rsidRPr="00152963">
        <w:rPr>
          <w:szCs w:val="24"/>
          <w:u w:val="single"/>
        </w:rPr>
        <w:t>not to have ED properties.</w:t>
      </w:r>
      <w:r w:rsidR="008C4050" w:rsidRPr="00152963">
        <w:rPr>
          <w:szCs w:val="24"/>
        </w:rPr>
        <w:t>.</w:t>
      </w:r>
    </w:p>
    <w:p w:rsidR="00A05430" w:rsidRPr="008B6EE4" w:rsidRDefault="00A05430" w:rsidP="00A05430">
      <w:pPr>
        <w:pStyle w:val="ListNumber"/>
      </w:pPr>
      <w:r w:rsidRPr="008B6EE4">
        <w:t>A</w:t>
      </w:r>
      <w:r w:rsidRPr="00B425B0">
        <w:t xml:space="preserve"> non-active substance in the </w:t>
      </w:r>
      <w:r w:rsidRPr="001B4CC1">
        <w:t xml:space="preserve">product </w:t>
      </w:r>
      <w:r w:rsidR="00DF6E42" w:rsidRPr="001B4CC1">
        <w:t>having ED properties</w:t>
      </w:r>
      <w:r w:rsidR="00DF6E42" w:rsidRPr="001B4CC1" w:rsidDel="00DF6E42">
        <w:t xml:space="preserve"> </w:t>
      </w:r>
      <w:r w:rsidRPr="001B4CC1">
        <w:t>should</w:t>
      </w:r>
      <w:r w:rsidRPr="00B425B0">
        <w:t xml:space="preserve"> be considered as a substance of concern (SoC) within the meaning of Article 3(1)(f) of the BPR.</w:t>
      </w:r>
    </w:p>
    <w:p w:rsidR="00A05430" w:rsidRPr="00FD1F4F" w:rsidRDefault="00A05430" w:rsidP="00A05430">
      <w:pPr>
        <w:pStyle w:val="ListNumber"/>
      </w:pPr>
      <w:r w:rsidRPr="008B6EE4">
        <w:t>The evaluating body must assess any possible SoCs in the product in accordance with the gene</w:t>
      </w:r>
      <w:r w:rsidRPr="00FD1F4F">
        <w:t>ral principles referred to in paragraphs 3, 4, 5, 6, 7, 14, 16 and 17 of Annex VI to the BPR. In order to do so, the following guidance has been developed at EU level enabling the evaluating body to identify and assess SoCs in biocidal products:</w:t>
      </w:r>
    </w:p>
    <w:p w:rsidR="00A05430" w:rsidRPr="00FD1F4F" w:rsidRDefault="00A05430" w:rsidP="00A05430">
      <w:pPr>
        <w:pStyle w:val="ListNumberLevel2"/>
      </w:pPr>
      <w:r w:rsidRPr="00FD1F4F">
        <w:t>Substances of Concern — Proposed Human Health (Toxicology) Assessment Scheme for Authorisation of Biocidal Products</w:t>
      </w:r>
      <w:r w:rsidRPr="00FD1F4F">
        <w:rPr>
          <w:rStyle w:val="FootnoteReference"/>
        </w:rPr>
        <w:footnoteReference w:id="25"/>
      </w:r>
      <w:r w:rsidRPr="00FD1F4F">
        <w:t>;</w:t>
      </w:r>
    </w:p>
    <w:p w:rsidR="00A05430" w:rsidRPr="00596661" w:rsidRDefault="00A05430" w:rsidP="00A05430">
      <w:pPr>
        <w:pStyle w:val="ListNumberLevel2"/>
      </w:pPr>
      <w:r w:rsidRPr="00596661">
        <w:t>Assessment of substances of concern — Guidance on the Biocidal Products Regulation Volume IV Environment — Assessment and Evaluation (Parts B and C)</w:t>
      </w:r>
      <w:r w:rsidRPr="00596661">
        <w:rPr>
          <w:rStyle w:val="FootnoteReference"/>
        </w:rPr>
        <w:footnoteReference w:id="26"/>
      </w:r>
      <w:r w:rsidRPr="00596661">
        <w:t>.</w:t>
      </w:r>
    </w:p>
    <w:p w:rsidR="00150E85" w:rsidRPr="008B6EE4" w:rsidRDefault="00150E85" w:rsidP="00F36704">
      <w:pPr>
        <w:pStyle w:val="ListNumber"/>
        <w:spacing w:after="120"/>
      </w:pPr>
      <w:r w:rsidRPr="00596661">
        <w:t>By the end of the assessment, if the conditions in Article 19 of the BPR are met</w:t>
      </w:r>
      <w:r w:rsidRPr="00B425B0">
        <w:t>, the regulatory consequences for biocidal products with ED properties in Articles 19(4), 22(2)(e</w:t>
      </w:r>
      <w:r w:rsidRPr="001B4CC1">
        <w:t>)</w:t>
      </w:r>
      <w:r w:rsidR="005C16A6" w:rsidRPr="001B4CC1">
        <w:t xml:space="preserve"> or</w:t>
      </w:r>
      <w:r w:rsidRPr="001B4CC1">
        <w:t xml:space="preserve"> 25</w:t>
      </w:r>
      <w:r w:rsidRPr="00B425B0">
        <w:t>(b) of the BPR</w:t>
      </w:r>
      <w:r w:rsidRPr="008B6EE4">
        <w:t xml:space="preserve"> will apply.</w:t>
      </w:r>
    </w:p>
    <w:p w:rsidR="00394EDE" w:rsidRPr="00A05430" w:rsidRDefault="00394EDE" w:rsidP="00A05430">
      <w:pPr>
        <w:pStyle w:val="ListNumber"/>
        <w:numPr>
          <w:ilvl w:val="0"/>
          <w:numId w:val="0"/>
        </w:numPr>
        <w:rPr>
          <w:b/>
          <w:i/>
        </w:rPr>
      </w:pPr>
    </w:p>
    <w:p w:rsidR="0056230E" w:rsidRPr="008B3C9E" w:rsidRDefault="0056230E" w:rsidP="0056230E">
      <w:pPr>
        <w:pStyle w:val="ListNumber"/>
        <w:numPr>
          <w:ilvl w:val="0"/>
          <w:numId w:val="0"/>
        </w:numPr>
        <w:rPr>
          <w:b/>
          <w:i/>
        </w:rPr>
      </w:pPr>
      <w:r w:rsidRPr="008B3C9E">
        <w:rPr>
          <w:b/>
          <w:i/>
        </w:rPr>
        <w:t>2.</w:t>
      </w:r>
      <w:r w:rsidR="00BF6D88" w:rsidRPr="008B3C9E">
        <w:rPr>
          <w:b/>
          <w:i/>
        </w:rPr>
        <w:t>2</w:t>
      </w:r>
      <w:r w:rsidRPr="008B3C9E">
        <w:rPr>
          <w:b/>
          <w:i/>
        </w:rPr>
        <w:t xml:space="preserve">.- </w:t>
      </w:r>
      <w:r w:rsidR="00E76A76" w:rsidRPr="008B3C9E">
        <w:rPr>
          <w:b/>
          <w:i/>
        </w:rPr>
        <w:t>A</w:t>
      </w:r>
      <w:r w:rsidR="00B83BB2" w:rsidRPr="008B3C9E">
        <w:rPr>
          <w:b/>
          <w:i/>
        </w:rPr>
        <w:t xml:space="preserve">pplications </w:t>
      </w:r>
      <w:r w:rsidR="00A61848" w:rsidRPr="008B3C9E">
        <w:rPr>
          <w:b/>
          <w:i/>
        </w:rPr>
        <w:t xml:space="preserve">for </w:t>
      </w:r>
      <w:r w:rsidR="00C35320" w:rsidRPr="008B3C9E">
        <w:rPr>
          <w:b/>
          <w:i/>
        </w:rPr>
        <w:t xml:space="preserve">biocidal products for </w:t>
      </w:r>
      <w:r w:rsidR="00A61848" w:rsidRPr="008B3C9E">
        <w:rPr>
          <w:b/>
          <w:i/>
        </w:rPr>
        <w:t xml:space="preserve">which the </w:t>
      </w:r>
      <w:r w:rsidR="00A64BA4" w:rsidRPr="008B3C9E">
        <w:rPr>
          <w:b/>
          <w:i/>
        </w:rPr>
        <w:t>evaluation</w:t>
      </w:r>
      <w:r w:rsidR="00A61848" w:rsidRPr="008B3C9E">
        <w:rPr>
          <w:b/>
          <w:i/>
        </w:rPr>
        <w:t xml:space="preserve"> phase is closed</w:t>
      </w:r>
      <w:r w:rsidR="00BE2551" w:rsidRPr="008B3C9E">
        <w:rPr>
          <w:b/>
          <w:i/>
        </w:rPr>
        <w:t xml:space="preserve"> when the ED criteria become applicable</w:t>
      </w:r>
      <w:r w:rsidR="00BF6D88" w:rsidRPr="008B3C9E">
        <w:rPr>
          <w:b/>
          <w:i/>
        </w:rPr>
        <w:t xml:space="preserve"> but </w:t>
      </w:r>
      <w:r w:rsidR="001B4CC1">
        <w:rPr>
          <w:b/>
          <w:i/>
        </w:rPr>
        <w:t xml:space="preserve">a </w:t>
      </w:r>
      <w:r w:rsidR="00BF6D88" w:rsidRPr="008B3C9E">
        <w:rPr>
          <w:b/>
          <w:i/>
        </w:rPr>
        <w:t>product authorisation has not been granted</w:t>
      </w:r>
      <w:r w:rsidR="00D43420" w:rsidRPr="00D43420">
        <w:rPr>
          <w:b/>
          <w:i/>
        </w:rPr>
        <w:t xml:space="preserve"> </w:t>
      </w:r>
      <w:r w:rsidR="00D43420">
        <w:rPr>
          <w:b/>
          <w:i/>
        </w:rPr>
        <w:t>yet</w:t>
      </w:r>
    </w:p>
    <w:p w:rsidR="00A36A8E" w:rsidRPr="008B3C9E" w:rsidRDefault="00A36A8E" w:rsidP="00A61848">
      <w:pPr>
        <w:pStyle w:val="ListNumber"/>
      </w:pPr>
      <w:r w:rsidRPr="008B3C9E">
        <w:t>In</w:t>
      </w:r>
      <w:r w:rsidR="00A61848" w:rsidRPr="008B3C9E">
        <w:t xml:space="preserve"> </w:t>
      </w:r>
      <w:r w:rsidRPr="008B3C9E">
        <w:t xml:space="preserve">applications </w:t>
      </w:r>
      <w:r w:rsidR="008B3B59">
        <w:t>where</w:t>
      </w:r>
      <w:r w:rsidR="00A61848" w:rsidRPr="008B3C9E">
        <w:t xml:space="preserve"> the assessment phase is already closed, the </w:t>
      </w:r>
      <w:r w:rsidR="00D43420">
        <w:t>application</w:t>
      </w:r>
      <w:r w:rsidR="00D43420" w:rsidRPr="008B3C9E">
        <w:t xml:space="preserve"> </w:t>
      </w:r>
      <w:r w:rsidRPr="008B3C9E">
        <w:t>move</w:t>
      </w:r>
      <w:r w:rsidR="00D1784C">
        <w:t>s</w:t>
      </w:r>
      <w:r w:rsidRPr="008B3C9E">
        <w:t xml:space="preserve"> to the next procedural step:</w:t>
      </w:r>
    </w:p>
    <w:p w:rsidR="00A36A8E" w:rsidRPr="008B3C9E" w:rsidRDefault="00D1784C" w:rsidP="00D66969">
      <w:pPr>
        <w:pStyle w:val="ListNumberLevel2"/>
      </w:pPr>
      <w:r>
        <w:t>t</w:t>
      </w:r>
      <w:r w:rsidR="00A36A8E" w:rsidRPr="008B3C9E">
        <w:t xml:space="preserve">he formal and administrative granting of the authorisation by the MS, in </w:t>
      </w:r>
      <w:r>
        <w:t xml:space="preserve">the </w:t>
      </w:r>
      <w:r w:rsidR="00A36A8E" w:rsidRPr="008B3C9E">
        <w:t>case of</w:t>
      </w:r>
      <w:r w:rsidR="001969B2" w:rsidRPr="008B3C9E">
        <w:t xml:space="preserve"> applications submitted under Article</w:t>
      </w:r>
      <w:r w:rsidR="003176D7" w:rsidRPr="008B3C9E">
        <w:t xml:space="preserve"> </w:t>
      </w:r>
      <w:r w:rsidR="00A36A8E" w:rsidRPr="008B3C9E">
        <w:t>29 (purely national authorisations)</w:t>
      </w:r>
      <w:r w:rsidR="007807AC" w:rsidRPr="008B3C9E">
        <w:t xml:space="preserve"> or</w:t>
      </w:r>
      <w:r w:rsidR="00A36A8E" w:rsidRPr="008B3C9E">
        <w:t xml:space="preserve"> 26 (simplified authorisation procedure) of the BPR</w:t>
      </w:r>
      <w:r>
        <w:t>;</w:t>
      </w:r>
    </w:p>
    <w:p w:rsidR="00A36A8E" w:rsidRPr="008B3C9E" w:rsidRDefault="00D1784C" w:rsidP="00DD4678">
      <w:pPr>
        <w:pStyle w:val="ListNumberLevel2"/>
      </w:pPr>
      <w:r>
        <w:t>t</w:t>
      </w:r>
      <w:r w:rsidR="00A36A8E" w:rsidRPr="008B3C9E">
        <w:t xml:space="preserve">he </w:t>
      </w:r>
      <w:r>
        <w:t>mutual recognition</w:t>
      </w:r>
      <w:r w:rsidR="003176D7" w:rsidRPr="008B3C9E">
        <w:t xml:space="preserve"> </w:t>
      </w:r>
      <w:r w:rsidR="00A36A8E" w:rsidRPr="008B3C9E">
        <w:t>phase for agreement on the SPC</w:t>
      </w:r>
      <w:r w:rsidR="005D246F">
        <w:t>,</w:t>
      </w:r>
      <w:r w:rsidR="00A36A8E" w:rsidRPr="008B3C9E">
        <w:t xml:space="preserve"> agreed or proposed by the evaluating body, </w:t>
      </w:r>
      <w:r w:rsidR="005D246F">
        <w:t xml:space="preserve">for </w:t>
      </w:r>
      <w:r w:rsidR="00A36A8E" w:rsidRPr="008B3C9E">
        <w:t>applications submitted under Articles 33 (</w:t>
      </w:r>
      <w:r w:rsidR="005D246F">
        <w:t>mutual recognition</w:t>
      </w:r>
      <w:r w:rsidR="006C5FAD">
        <w:t xml:space="preserve"> </w:t>
      </w:r>
      <w:r w:rsidR="00A36A8E" w:rsidRPr="008B3C9E">
        <w:t xml:space="preserve">in sequence) </w:t>
      </w:r>
      <w:r w:rsidR="003176D7" w:rsidRPr="008B3C9E">
        <w:t xml:space="preserve">or </w:t>
      </w:r>
      <w:r w:rsidR="00A36A8E" w:rsidRPr="008B3C9E">
        <w:t>34 (</w:t>
      </w:r>
      <w:r w:rsidR="005D246F">
        <w:t xml:space="preserve">mutual recognition </w:t>
      </w:r>
      <w:r w:rsidR="00A36A8E" w:rsidRPr="008B3C9E">
        <w:t>in parallel) of the BPR, respectively</w:t>
      </w:r>
      <w:r>
        <w:t>;</w:t>
      </w:r>
    </w:p>
    <w:p w:rsidR="00CC30FD" w:rsidRPr="008B3C9E" w:rsidRDefault="00A36A8E" w:rsidP="00DD4678">
      <w:pPr>
        <w:pStyle w:val="ListNumberLevel2"/>
      </w:pPr>
      <w:r w:rsidRPr="008B3C9E">
        <w:lastRenderedPageBreak/>
        <w:t xml:space="preserve">peer review by the Biocidal </w:t>
      </w:r>
      <w:r w:rsidR="008B3B59">
        <w:t>P</w:t>
      </w:r>
      <w:r w:rsidRPr="008B3C9E">
        <w:t xml:space="preserve">roducts Committee </w:t>
      </w:r>
      <w:r w:rsidR="00D43420">
        <w:t>of</w:t>
      </w:r>
      <w:r w:rsidR="00D43420" w:rsidRPr="008B3C9E">
        <w:t xml:space="preserve"> </w:t>
      </w:r>
      <w:r w:rsidRPr="008B3C9E">
        <w:t xml:space="preserve">ECHA in </w:t>
      </w:r>
      <w:r w:rsidR="005D246F">
        <w:t xml:space="preserve">the </w:t>
      </w:r>
      <w:r w:rsidRPr="008B3C9E">
        <w:t xml:space="preserve">case of applications submitted under Article </w:t>
      </w:r>
      <w:r w:rsidR="00CC30FD" w:rsidRPr="008B3C9E">
        <w:t>43</w:t>
      </w:r>
      <w:r w:rsidRPr="008B3C9E">
        <w:t xml:space="preserve"> (</w:t>
      </w:r>
      <w:r w:rsidR="00CC30FD" w:rsidRPr="008B3C9E">
        <w:t>U</w:t>
      </w:r>
      <w:r w:rsidR="00D1784C">
        <w:t xml:space="preserve">nion </w:t>
      </w:r>
      <w:r w:rsidR="008B1ACD">
        <w:t>a</w:t>
      </w:r>
      <w:r w:rsidR="00D1784C">
        <w:t>uthorisation</w:t>
      </w:r>
      <w:r w:rsidRPr="008B3C9E">
        <w:t>) of the BPR</w:t>
      </w:r>
      <w:r w:rsidR="00CC30FD" w:rsidRPr="008B3C9E">
        <w:t>.</w:t>
      </w:r>
    </w:p>
    <w:p w:rsidR="00C40686" w:rsidRPr="008B3C9E" w:rsidRDefault="00A61848" w:rsidP="00A61848">
      <w:pPr>
        <w:pStyle w:val="ListNumber"/>
      </w:pPr>
      <w:r w:rsidRPr="008B3C9E">
        <w:t xml:space="preserve">Where the </w:t>
      </w:r>
      <w:r w:rsidR="00F75820">
        <w:t>assessment</w:t>
      </w:r>
      <w:r w:rsidRPr="008B3C9E">
        <w:t xml:space="preserve"> phase</w:t>
      </w:r>
      <w:r w:rsidR="00D6451E" w:rsidRPr="008B3C9E">
        <w:t xml:space="preserve"> of a product</w:t>
      </w:r>
      <w:r w:rsidRPr="008B3C9E">
        <w:t xml:space="preserve"> is closed, it can</w:t>
      </w:r>
      <w:r w:rsidR="002965E5">
        <w:t>not</w:t>
      </w:r>
      <w:r w:rsidRPr="008B3C9E">
        <w:t xml:space="preserve"> be re-opened</w:t>
      </w:r>
      <w:r w:rsidR="002965E5">
        <w:t xml:space="preserve"> under th</w:t>
      </w:r>
      <w:r w:rsidR="002048FA">
        <w:t>is procedure</w:t>
      </w:r>
      <w:r w:rsidRPr="008B3C9E">
        <w:t xml:space="preserve">. </w:t>
      </w:r>
      <w:r w:rsidR="008B3B59">
        <w:t>With reference to</w:t>
      </w:r>
      <w:r w:rsidR="00C40686" w:rsidRPr="008B3C9E">
        <w:t xml:space="preserve"> </w:t>
      </w:r>
      <w:r w:rsidR="0080759C" w:rsidRPr="008B3C9E">
        <w:t xml:space="preserve">paragraph </w:t>
      </w:r>
      <w:r w:rsidR="007F771C">
        <w:t>39</w:t>
      </w:r>
      <w:r w:rsidR="00C40686" w:rsidRPr="00F75254">
        <w:t xml:space="preserve"> a</w:t>
      </w:r>
      <w:r w:rsidR="00C40686" w:rsidRPr="008B3C9E">
        <w:t xml:space="preserve">bove, MSs are only expected to discuss the </w:t>
      </w:r>
      <w:r w:rsidR="00D43420">
        <w:t>PAR</w:t>
      </w:r>
      <w:r w:rsidR="00C40686" w:rsidRPr="008B3C9E">
        <w:t xml:space="preserve"> prepared by the evaluating body</w:t>
      </w:r>
      <w:r w:rsidR="00F75820">
        <w:t xml:space="preserve"> </w:t>
      </w:r>
      <w:r w:rsidR="00C40686" w:rsidRPr="008B3C9E">
        <w:t xml:space="preserve">and </w:t>
      </w:r>
      <w:r w:rsidR="00F75820">
        <w:t>not to ask additional information to the applicant</w:t>
      </w:r>
      <w:r w:rsidR="00CF605C">
        <w:t xml:space="preserve"> in this phase of the procedure</w:t>
      </w:r>
      <w:r w:rsidR="00F75820">
        <w:t xml:space="preserve">. </w:t>
      </w:r>
    </w:p>
    <w:p w:rsidR="00092896" w:rsidRPr="008B3C9E" w:rsidRDefault="00A61848" w:rsidP="00092896">
      <w:pPr>
        <w:pStyle w:val="ListNumber"/>
      </w:pPr>
      <w:r w:rsidRPr="008B3C9E">
        <w:t xml:space="preserve">However, </w:t>
      </w:r>
      <w:r w:rsidR="00C40686" w:rsidRPr="008B3C9E">
        <w:t>the BPR still allow</w:t>
      </w:r>
      <w:r w:rsidR="008B3B59">
        <w:t>s</w:t>
      </w:r>
      <w:r w:rsidR="00C40686" w:rsidRPr="008B3C9E">
        <w:t xml:space="preserve"> MSs or the Commission (in </w:t>
      </w:r>
      <w:r w:rsidR="00D1784C">
        <w:t xml:space="preserve">the </w:t>
      </w:r>
      <w:r w:rsidR="00C40686" w:rsidRPr="008B3C9E">
        <w:t>case of U</w:t>
      </w:r>
      <w:r w:rsidR="00D1784C">
        <w:t xml:space="preserve">nion </w:t>
      </w:r>
      <w:r w:rsidR="008B1ACD">
        <w:t>a</w:t>
      </w:r>
      <w:r w:rsidR="00D1784C">
        <w:t>uthorisation</w:t>
      </w:r>
      <w:r w:rsidR="00C40686" w:rsidRPr="008B3C9E">
        <w:t xml:space="preserve">) to </w:t>
      </w:r>
      <w:r w:rsidR="00CF605C">
        <w:t xml:space="preserve">apply the ED criteria in this </w:t>
      </w:r>
      <w:r w:rsidR="00D94330">
        <w:t xml:space="preserve">phase of the </w:t>
      </w:r>
      <w:r w:rsidR="00CF605C">
        <w:t>procedure</w:t>
      </w:r>
      <w:r w:rsidR="004208AD">
        <w:t xml:space="preserve"> while respecting the legal deadlines for product authorisation</w:t>
      </w:r>
      <w:r w:rsidR="00C40686" w:rsidRPr="008B3C9E">
        <w:t>. P</w:t>
      </w:r>
      <w:r w:rsidRPr="008B3C9E">
        <w:t xml:space="preserve">ursuant to Article 22(1) of the BPR, the authorisation </w:t>
      </w:r>
      <w:r w:rsidR="00C40686" w:rsidRPr="008B3C9E">
        <w:t xml:space="preserve">to be </w:t>
      </w:r>
      <w:r w:rsidR="00C40686" w:rsidRPr="0062765D">
        <w:t xml:space="preserve">granted </w:t>
      </w:r>
      <w:r w:rsidRPr="0062765D">
        <w:t>may stipulate conditions relating to the making available on the market of the product. Th</w:t>
      </w:r>
      <w:r w:rsidR="00B7201D" w:rsidRPr="0062765D">
        <w:t>ese</w:t>
      </w:r>
      <w:r w:rsidRPr="0062765D">
        <w:t xml:space="preserve"> may include a </w:t>
      </w:r>
      <w:r w:rsidR="00C204A7" w:rsidRPr="0062765D">
        <w:t xml:space="preserve">condition </w:t>
      </w:r>
      <w:r w:rsidRPr="0062765D">
        <w:t>request</w:t>
      </w:r>
      <w:r w:rsidR="00C204A7" w:rsidRPr="0062765D">
        <w:t>ing</w:t>
      </w:r>
      <w:r w:rsidRPr="0062765D">
        <w:t xml:space="preserve"> </w:t>
      </w:r>
      <w:r w:rsidR="00D6451E" w:rsidRPr="0062765D">
        <w:t>the authorisation holder to</w:t>
      </w:r>
      <w:r w:rsidRPr="0062765D">
        <w:t xml:space="preserve"> </w:t>
      </w:r>
      <w:r w:rsidR="00113FA6" w:rsidRPr="0062765D">
        <w:t xml:space="preserve">provide additional data </w:t>
      </w:r>
      <w:r w:rsidR="00FA778D">
        <w:t>needed</w:t>
      </w:r>
      <w:r w:rsidR="00C066D0">
        <w:t xml:space="preserve"> to determine ED properties of a substance, </w:t>
      </w:r>
      <w:r w:rsidR="00F75820" w:rsidRPr="0062765D">
        <w:t xml:space="preserve">and, if appropriate, </w:t>
      </w:r>
      <w:r w:rsidR="00B7201D" w:rsidRPr="0062765D">
        <w:t xml:space="preserve">by </w:t>
      </w:r>
      <w:r w:rsidRPr="0062765D">
        <w:t>submi</w:t>
      </w:r>
      <w:r w:rsidR="00113FA6" w:rsidRPr="0062765D">
        <w:t>t</w:t>
      </w:r>
      <w:r w:rsidRPr="0062765D">
        <w:t>t</w:t>
      </w:r>
      <w:r w:rsidR="00113FA6" w:rsidRPr="0062765D">
        <w:t>ing</w:t>
      </w:r>
      <w:r w:rsidRPr="0062765D">
        <w:t xml:space="preserve"> an application for a change</w:t>
      </w:r>
      <w:r w:rsidR="00113FA6" w:rsidRPr="0062765D">
        <w:t xml:space="preserve"> </w:t>
      </w:r>
      <w:r w:rsidRPr="0062765D">
        <w:t>in accordance with Regulation (EU) No 354/2013</w:t>
      </w:r>
      <w:r w:rsidR="00286707" w:rsidRPr="0062765D">
        <w:rPr>
          <w:rStyle w:val="FootnoteReference"/>
        </w:rPr>
        <w:footnoteReference w:id="27"/>
      </w:r>
      <w:r w:rsidRPr="0062765D">
        <w:t xml:space="preserve"> (the </w:t>
      </w:r>
      <w:r w:rsidR="00876651" w:rsidRPr="0062765D">
        <w:t>C</w:t>
      </w:r>
      <w:r w:rsidRPr="0062765D">
        <w:t>hanges Regulation) within a given deadline</w:t>
      </w:r>
      <w:r w:rsidR="00856111" w:rsidRPr="0062765D">
        <w:rPr>
          <w:rStyle w:val="FootnoteReference"/>
        </w:rPr>
        <w:footnoteReference w:id="28"/>
      </w:r>
      <w:r w:rsidR="00856111" w:rsidRPr="0062765D">
        <w:t>.</w:t>
      </w:r>
      <w:r w:rsidR="00F14E57" w:rsidRPr="0062765D">
        <w:t xml:space="preserve"> </w:t>
      </w:r>
      <w:r w:rsidR="00092896">
        <w:t xml:space="preserve">Evaluating bodies </w:t>
      </w:r>
      <w:r w:rsidR="002973E1">
        <w:t xml:space="preserve">will </w:t>
      </w:r>
      <w:r w:rsidR="00092896">
        <w:t xml:space="preserve">have to decide whether there is a need to </w:t>
      </w:r>
      <w:r w:rsidR="002973E1">
        <w:t xml:space="preserve">include </w:t>
      </w:r>
      <w:r w:rsidR="00092896">
        <w:t xml:space="preserve">such a condition. </w:t>
      </w:r>
    </w:p>
    <w:p w:rsidR="00A61848" w:rsidRPr="0062765D" w:rsidRDefault="00B82D34" w:rsidP="00C40686">
      <w:pPr>
        <w:pStyle w:val="ListNumber"/>
      </w:pPr>
      <w:r w:rsidRPr="0062765D">
        <w:t>Such</w:t>
      </w:r>
      <w:r w:rsidR="00F14E57" w:rsidRPr="0062765D">
        <w:t xml:space="preserve"> a condition in the </w:t>
      </w:r>
      <w:r w:rsidR="00B169EC" w:rsidRPr="0062765D">
        <w:t>authorisation decision</w:t>
      </w:r>
      <w:r w:rsidR="00F14E57" w:rsidRPr="0062765D">
        <w:t xml:space="preserve"> </w:t>
      </w:r>
      <w:r w:rsidR="00B7201D" w:rsidRPr="0062765D">
        <w:t xml:space="preserve">may </w:t>
      </w:r>
      <w:r w:rsidRPr="0062765D">
        <w:t xml:space="preserve">be justified </w:t>
      </w:r>
      <w:r w:rsidR="008D11B0" w:rsidRPr="0062765D">
        <w:t xml:space="preserve">if there </w:t>
      </w:r>
      <w:r w:rsidR="00C066D0">
        <w:t xml:space="preserve">are </w:t>
      </w:r>
      <w:r w:rsidR="00D51E2C">
        <w:t>reasonable</w:t>
      </w:r>
      <w:r w:rsidR="008D11B0" w:rsidRPr="0062765D">
        <w:t xml:space="preserve"> </w:t>
      </w:r>
      <w:r w:rsidR="00C066D0">
        <w:t xml:space="preserve">indications </w:t>
      </w:r>
      <w:r w:rsidR="00F14E57" w:rsidRPr="0062765D">
        <w:t>that the non-active substance has or may have endocrine-disrupting properties.</w:t>
      </w:r>
      <w:r w:rsidR="00827AE1" w:rsidRPr="00827AE1">
        <w:t xml:space="preserve"> </w:t>
      </w:r>
      <w:r w:rsidR="009C0415">
        <w:t>The evaluating body</w:t>
      </w:r>
      <w:r w:rsidR="00092896">
        <w:t xml:space="preserve"> can use the information system described in paragraph</w:t>
      </w:r>
      <w:r w:rsidR="001B4CC1">
        <w:t>s</w:t>
      </w:r>
      <w:r w:rsidR="00092896">
        <w:t xml:space="preserve"> </w:t>
      </w:r>
      <w:r w:rsidR="00092896" w:rsidRPr="00FA778D">
        <w:t>2</w:t>
      </w:r>
      <w:r w:rsidR="001B4CC1" w:rsidRPr="00FA778D">
        <w:t>4-25</w:t>
      </w:r>
      <w:r w:rsidR="00092896">
        <w:t xml:space="preserve"> to facilitate its decision on the need for such a condition</w:t>
      </w:r>
      <w:r w:rsidR="009C0415">
        <w:t xml:space="preserve"> </w:t>
      </w:r>
      <w:r w:rsidR="00FA778D">
        <w:t xml:space="preserve">and </w:t>
      </w:r>
      <w:r w:rsidR="009C0415">
        <w:t>m</w:t>
      </w:r>
      <w:r w:rsidR="009C0415" w:rsidRPr="008B3C9E">
        <w:t xml:space="preserve">ay </w:t>
      </w:r>
      <w:r w:rsidR="009C0415">
        <w:t xml:space="preserve">ask advice of the Endocrine Disruptor Expert Group, </w:t>
      </w:r>
      <w:r w:rsidR="009C0415" w:rsidRPr="008B3C9E">
        <w:t xml:space="preserve">either to decide </w:t>
      </w:r>
      <w:r w:rsidR="009C0415">
        <w:t>which</w:t>
      </w:r>
      <w:r w:rsidR="009C0415" w:rsidRPr="008B3C9E">
        <w:t xml:space="preserve"> </w:t>
      </w:r>
      <w:r w:rsidR="009C0415">
        <w:t xml:space="preserve">additional </w:t>
      </w:r>
      <w:r w:rsidR="009C0415" w:rsidRPr="008B3C9E">
        <w:t>data to request</w:t>
      </w:r>
      <w:r w:rsidR="009C0415">
        <w:t xml:space="preserve"> and/</w:t>
      </w:r>
      <w:r w:rsidR="009C0415" w:rsidRPr="008B3C9E">
        <w:t xml:space="preserve">or to reach conclusions </w:t>
      </w:r>
      <w:r w:rsidR="009C0415">
        <w:t xml:space="preserve">based on </w:t>
      </w:r>
      <w:r w:rsidR="009C0415" w:rsidRPr="008B3C9E">
        <w:t xml:space="preserve">the evaluation of the ED properties of the </w:t>
      </w:r>
      <w:r w:rsidR="00827AE1" w:rsidRPr="008B3C9E">
        <w:t>non-active substance</w:t>
      </w:r>
      <w:r w:rsidR="009C0415">
        <w:t>.</w:t>
      </w:r>
    </w:p>
    <w:p w:rsidR="00C066D0" w:rsidRPr="004F089D" w:rsidRDefault="00B82D34" w:rsidP="00DD4678">
      <w:pPr>
        <w:pStyle w:val="ListNumber"/>
      </w:pPr>
      <w:r w:rsidRPr="008B3C9E">
        <w:t>If such a condition is included in the product authorisation, t</w:t>
      </w:r>
      <w:r w:rsidR="00A61848" w:rsidRPr="008B3C9E">
        <w:t xml:space="preserve">he </w:t>
      </w:r>
      <w:r w:rsidR="005860EE" w:rsidRPr="008B3C9E">
        <w:t>authorisation holder</w:t>
      </w:r>
      <w:r w:rsidR="00A61848" w:rsidRPr="008B3C9E">
        <w:t xml:space="preserve"> will </w:t>
      </w:r>
      <w:r w:rsidR="00D6451E" w:rsidRPr="008B3C9E">
        <w:t>therefore</w:t>
      </w:r>
      <w:r w:rsidR="00FB34A6">
        <w:t xml:space="preserve"> </w:t>
      </w:r>
      <w:r w:rsidR="00FB34A6" w:rsidRPr="008B3C9E">
        <w:t>have</w:t>
      </w:r>
      <w:r w:rsidR="00D6451E" w:rsidRPr="008B3C9E">
        <w:t xml:space="preserve"> </w:t>
      </w:r>
      <w:r w:rsidRPr="008B3C9E">
        <w:t xml:space="preserve">to </w:t>
      </w:r>
      <w:r w:rsidR="00A61848" w:rsidRPr="008B3C9E">
        <w:t xml:space="preserve">submit the relevant data to the evaluating body, which </w:t>
      </w:r>
      <w:r w:rsidR="00611D34">
        <w:t xml:space="preserve">will assess the application and, where appropriate, </w:t>
      </w:r>
      <w:r w:rsidR="00A61848" w:rsidRPr="008B3C9E">
        <w:t xml:space="preserve">reach a conclusion under a coordinated approach involving all the MSs </w:t>
      </w:r>
      <w:r w:rsidR="00C40686" w:rsidRPr="008B3C9E">
        <w:t>in accordance with Article</w:t>
      </w:r>
      <w:r w:rsidR="00D43420">
        <w:t>s</w:t>
      </w:r>
      <w:r w:rsidR="00C40686" w:rsidRPr="008B3C9E">
        <w:t xml:space="preserve"> 8 or 13 of </w:t>
      </w:r>
      <w:r w:rsidR="008526BD">
        <w:t xml:space="preserve">the Changes </w:t>
      </w:r>
      <w:r w:rsidR="00C40686" w:rsidRPr="008B3C9E">
        <w:t>Regulation</w:t>
      </w:r>
      <w:r w:rsidR="00A61848" w:rsidRPr="008B3C9E">
        <w:t>.</w:t>
      </w:r>
      <w:r w:rsidR="00C066D0">
        <w:t xml:space="preserve"> </w:t>
      </w:r>
      <w:r w:rsidR="00172844">
        <w:t>The evaluating body may also decide</w:t>
      </w:r>
      <w:r w:rsidR="00875AA1">
        <w:t xml:space="preserve">, based on the data available, whether the scientific criteria to determine ED properties are satisfied, or </w:t>
      </w:r>
      <w:r w:rsidR="00172844">
        <w:t xml:space="preserve">to trigger a procedure under REACH as described in paragraph </w:t>
      </w:r>
      <w:r w:rsidR="004F089D" w:rsidRPr="00AC677B">
        <w:t>3</w:t>
      </w:r>
      <w:r w:rsidR="004F089D">
        <w:t>2</w:t>
      </w:r>
      <w:r w:rsidR="00172844" w:rsidRPr="00AC677B">
        <w:t>.</w:t>
      </w:r>
    </w:p>
    <w:p w:rsidR="00C40686" w:rsidRPr="008B3C9E" w:rsidRDefault="00D94330" w:rsidP="00DD4678">
      <w:pPr>
        <w:pStyle w:val="ListNumber"/>
      </w:pPr>
      <w:r>
        <w:t xml:space="preserve">The </w:t>
      </w:r>
      <w:r w:rsidR="006441B8">
        <w:t xml:space="preserve">proposed </w:t>
      </w:r>
      <w:r>
        <w:t xml:space="preserve">way forward </w:t>
      </w:r>
      <w:r w:rsidR="00C40686" w:rsidRPr="008B3C9E">
        <w:t>provide</w:t>
      </w:r>
      <w:r w:rsidR="0017290C" w:rsidRPr="008B3C9E">
        <w:t>s</w:t>
      </w:r>
      <w:r w:rsidR="00C40686" w:rsidRPr="008B3C9E">
        <w:t xml:space="preserve"> for a balanced approach between taking into consideration </w:t>
      </w:r>
      <w:r w:rsidR="00874BD8" w:rsidRPr="008B3C9E">
        <w:t xml:space="preserve">the </w:t>
      </w:r>
      <w:r w:rsidR="00F14E57" w:rsidRPr="008B3C9E">
        <w:t xml:space="preserve">applicability of the </w:t>
      </w:r>
      <w:r w:rsidR="0017290C" w:rsidRPr="008B3C9E">
        <w:t xml:space="preserve">ED </w:t>
      </w:r>
      <w:r w:rsidR="00F14E57" w:rsidRPr="008B3C9E">
        <w:t xml:space="preserve">scientific </w:t>
      </w:r>
      <w:r w:rsidR="0017290C" w:rsidRPr="008B3C9E">
        <w:t>criteria</w:t>
      </w:r>
      <w:r w:rsidR="00C40686" w:rsidRPr="008B3C9E">
        <w:t xml:space="preserve"> </w:t>
      </w:r>
      <w:r w:rsidR="009537A0">
        <w:t xml:space="preserve">and </w:t>
      </w:r>
      <w:r w:rsidR="008D11B0" w:rsidRPr="008B3C9E">
        <w:t xml:space="preserve">ensuring consistency with </w:t>
      </w:r>
      <w:r w:rsidR="00C40686" w:rsidRPr="008B3C9E">
        <w:t>the</w:t>
      </w:r>
      <w:r w:rsidR="008D11B0" w:rsidRPr="008B3C9E">
        <w:t xml:space="preserve"> procedural</w:t>
      </w:r>
      <w:r w:rsidR="00B169EC" w:rsidRPr="008B3C9E">
        <w:t xml:space="preserve"> </w:t>
      </w:r>
      <w:r w:rsidR="00C40686" w:rsidRPr="008B3C9E">
        <w:t>deadlines</w:t>
      </w:r>
      <w:r w:rsidR="008D11B0" w:rsidRPr="008B3C9E">
        <w:t xml:space="preserve"> for authorisation</w:t>
      </w:r>
      <w:r w:rsidR="00C40686" w:rsidRPr="008B3C9E">
        <w:t xml:space="preserve"> in the BPR. </w:t>
      </w:r>
      <w:r w:rsidR="00D6451E" w:rsidRPr="008B3C9E">
        <w:t xml:space="preserve">It </w:t>
      </w:r>
      <w:r w:rsidR="00B82D34" w:rsidRPr="008B3C9E">
        <w:t xml:space="preserve">also </w:t>
      </w:r>
      <w:r w:rsidR="008526BD">
        <w:t xml:space="preserve">provides </w:t>
      </w:r>
      <w:r w:rsidR="00D6451E" w:rsidRPr="008B3C9E">
        <w:t xml:space="preserve">the possibility </w:t>
      </w:r>
      <w:r w:rsidR="008526BD">
        <w:t xml:space="preserve">of </w:t>
      </w:r>
      <w:r w:rsidR="00B82D34" w:rsidRPr="008B3C9E">
        <w:t>amend</w:t>
      </w:r>
      <w:r w:rsidR="008526BD">
        <w:t>ing</w:t>
      </w:r>
      <w:r w:rsidR="00D6451E" w:rsidRPr="008B3C9E">
        <w:t xml:space="preserve"> the authorisation in the light of new information becoming available on the ED properties of the non-active substance</w:t>
      </w:r>
      <w:r w:rsidR="00B82D34" w:rsidRPr="008B3C9E">
        <w:t>(s) in the biocidal product</w:t>
      </w:r>
      <w:r w:rsidR="00D6451E" w:rsidRPr="008B3C9E">
        <w:t>.</w:t>
      </w:r>
    </w:p>
    <w:p w:rsidR="0005792B" w:rsidRPr="008B3C9E" w:rsidRDefault="0005792B" w:rsidP="00DD4678">
      <w:pPr>
        <w:pStyle w:val="ListNumber"/>
        <w:numPr>
          <w:ilvl w:val="0"/>
          <w:numId w:val="0"/>
        </w:numPr>
        <w:rPr>
          <w:b/>
          <w:i/>
        </w:rPr>
      </w:pPr>
    </w:p>
    <w:p w:rsidR="00874BD8" w:rsidRPr="008B3C9E" w:rsidRDefault="00874BD8" w:rsidP="00DD4678">
      <w:pPr>
        <w:pStyle w:val="ListNumber"/>
        <w:numPr>
          <w:ilvl w:val="0"/>
          <w:numId w:val="0"/>
        </w:numPr>
        <w:rPr>
          <w:b/>
          <w:i/>
        </w:rPr>
      </w:pPr>
      <w:r w:rsidRPr="008B3C9E">
        <w:rPr>
          <w:b/>
          <w:i/>
        </w:rPr>
        <w:t xml:space="preserve">2.3.- Application of the new criteria to products already authorised  </w:t>
      </w:r>
    </w:p>
    <w:p w:rsidR="0001492D" w:rsidRDefault="00874BD8" w:rsidP="00A61848">
      <w:pPr>
        <w:pStyle w:val="ListNumber"/>
      </w:pPr>
      <w:r w:rsidRPr="008B3C9E">
        <w:t>By the date when t</w:t>
      </w:r>
      <w:r w:rsidR="00611B38" w:rsidRPr="008B3C9E">
        <w:t xml:space="preserve">he ED criteria </w:t>
      </w:r>
      <w:r w:rsidR="009C0F15">
        <w:t xml:space="preserve">will </w:t>
      </w:r>
      <w:r w:rsidR="00611B38" w:rsidRPr="008B3C9E">
        <w:t>become applic</w:t>
      </w:r>
      <w:r w:rsidRPr="008B3C9E">
        <w:t xml:space="preserve">able, </w:t>
      </w:r>
      <w:r w:rsidRPr="00F75254">
        <w:t>MSs</w:t>
      </w:r>
      <w:r w:rsidR="002973E1" w:rsidRPr="00F75254">
        <w:t xml:space="preserve"> or the Commission</w:t>
      </w:r>
      <w:r w:rsidR="009E61CD" w:rsidRPr="008B3C9E">
        <w:rPr>
          <w:rStyle w:val="FootnoteReference"/>
        </w:rPr>
        <w:footnoteReference w:id="29"/>
      </w:r>
      <w:r w:rsidRPr="008B3C9E">
        <w:t xml:space="preserve"> </w:t>
      </w:r>
      <w:r w:rsidR="009537A0">
        <w:t xml:space="preserve">may </w:t>
      </w:r>
      <w:r w:rsidRPr="008B3C9E">
        <w:t>have already authorised</w:t>
      </w:r>
      <w:r w:rsidR="006E0201" w:rsidRPr="008B3C9E">
        <w:t xml:space="preserve"> </w:t>
      </w:r>
      <w:r w:rsidR="00611B38" w:rsidRPr="008B3C9E">
        <w:t xml:space="preserve">biocidal </w:t>
      </w:r>
      <w:r w:rsidRPr="008B3C9E">
        <w:t xml:space="preserve">products containing </w:t>
      </w:r>
      <w:r w:rsidR="00681A6E">
        <w:t>active substance</w:t>
      </w:r>
      <w:r w:rsidR="009C0F15">
        <w:t>(s)</w:t>
      </w:r>
      <w:r w:rsidRPr="008B3C9E">
        <w:t xml:space="preserve"> or non-active substance</w:t>
      </w:r>
      <w:r w:rsidR="009C0F15">
        <w:t>(s)</w:t>
      </w:r>
      <w:r w:rsidRPr="008B3C9E">
        <w:t xml:space="preserve"> that might be </w:t>
      </w:r>
      <w:r w:rsidR="008D11B0" w:rsidRPr="008B3C9E">
        <w:t xml:space="preserve">considered </w:t>
      </w:r>
      <w:r w:rsidR="009537A0">
        <w:t xml:space="preserve">to </w:t>
      </w:r>
      <w:r w:rsidR="008D11B0" w:rsidRPr="008B3C9E">
        <w:t>hav</w:t>
      </w:r>
      <w:r w:rsidR="009537A0">
        <w:t>e</w:t>
      </w:r>
      <w:r w:rsidR="008D11B0" w:rsidRPr="008B3C9E">
        <w:t xml:space="preserve"> ED </w:t>
      </w:r>
      <w:r w:rsidR="00B770CA" w:rsidRPr="008B3C9E">
        <w:t>properties</w:t>
      </w:r>
      <w:r w:rsidR="008D11B0" w:rsidRPr="008B3C9E">
        <w:t xml:space="preserve"> </w:t>
      </w:r>
      <w:r w:rsidR="009537A0">
        <w:t>according to the ED</w:t>
      </w:r>
      <w:r w:rsidRPr="008B3C9E">
        <w:t xml:space="preserve"> criteria. </w:t>
      </w:r>
    </w:p>
    <w:p w:rsidR="006E4861" w:rsidRPr="008B3C9E" w:rsidRDefault="006E4861" w:rsidP="00A61848">
      <w:pPr>
        <w:pStyle w:val="ListNumber"/>
      </w:pPr>
      <w:r>
        <w:t>In accordance with Article 47 of the BPR</w:t>
      </w:r>
      <w:r w:rsidR="006441B8">
        <w:t>,</w:t>
      </w:r>
      <w:r>
        <w:t xml:space="preserve"> the holder of an authorisa</w:t>
      </w:r>
      <w:r w:rsidR="0001492D">
        <w:t xml:space="preserve">tion shall notify the competent authority, the Agency and/or the Commission on </w:t>
      </w:r>
      <w:r w:rsidR="00D51E2C">
        <w:t xml:space="preserve">becoming aware of </w:t>
      </w:r>
      <w:r w:rsidR="0001492D">
        <w:t xml:space="preserve">new data or information on the adverse effects of the active substance or </w:t>
      </w:r>
      <w:r w:rsidR="006441B8">
        <w:t xml:space="preserve">of </w:t>
      </w:r>
      <w:r w:rsidR="00A66500">
        <w:t xml:space="preserve">the </w:t>
      </w:r>
      <w:r w:rsidR="0001492D">
        <w:t>biocidal product for humans</w:t>
      </w:r>
      <w:r w:rsidR="009C0415">
        <w:t xml:space="preserve"> or the environment</w:t>
      </w:r>
      <w:r w:rsidR="0001492D">
        <w:t>. This provision also covers data or information concerning adverse effects on the endocrine system of humans</w:t>
      </w:r>
      <w:r w:rsidR="009C0415">
        <w:t xml:space="preserve"> or non-target organisms</w:t>
      </w:r>
      <w:r w:rsidR="0001492D">
        <w:t xml:space="preserve">. </w:t>
      </w:r>
    </w:p>
    <w:p w:rsidR="0001492D" w:rsidRDefault="0001492D" w:rsidP="0001492D">
      <w:pPr>
        <w:pStyle w:val="ListNumber"/>
      </w:pPr>
      <w:r w:rsidRPr="008B3C9E">
        <w:t xml:space="preserve">In order to consider the ED criteria </w:t>
      </w:r>
      <w:r>
        <w:t>for</w:t>
      </w:r>
      <w:r w:rsidRPr="008B3C9E">
        <w:t xml:space="preserve"> products that are already authorised, the BPR provides for two set</w:t>
      </w:r>
      <w:r w:rsidR="006441B8">
        <w:t>s</w:t>
      </w:r>
      <w:r w:rsidRPr="008B3C9E">
        <w:t xml:space="preserve"> of provisions that MSs </w:t>
      </w:r>
      <w:r w:rsidR="002973E1" w:rsidRPr="00F75254">
        <w:t>or the Commission</w:t>
      </w:r>
      <w:r w:rsidR="002973E1">
        <w:t xml:space="preserve"> </w:t>
      </w:r>
      <w:r w:rsidRPr="008B3C9E">
        <w:t>may use.</w:t>
      </w:r>
    </w:p>
    <w:p w:rsidR="006212F4" w:rsidRPr="008B3C9E" w:rsidRDefault="009D1D0F" w:rsidP="00DD4678">
      <w:pPr>
        <w:pStyle w:val="ListNumber"/>
      </w:pPr>
      <w:r>
        <w:t>T</w:t>
      </w:r>
      <w:r w:rsidR="008F555B" w:rsidRPr="008B3C9E">
        <w:t xml:space="preserve">he first </w:t>
      </w:r>
      <w:r w:rsidR="006E0201" w:rsidRPr="008B3C9E">
        <w:t xml:space="preserve">provisions are set </w:t>
      </w:r>
      <w:r w:rsidR="009537A0">
        <w:t xml:space="preserve">out </w:t>
      </w:r>
      <w:r w:rsidR="006E0201" w:rsidRPr="008B3C9E">
        <w:t xml:space="preserve">in </w:t>
      </w:r>
      <w:r w:rsidR="00A61848" w:rsidRPr="008B3C9E">
        <w:t>Article 48(1)(a) of the BPR</w:t>
      </w:r>
      <w:r w:rsidR="006212F4" w:rsidRPr="008B3C9E">
        <w:t>:</w:t>
      </w:r>
    </w:p>
    <w:p w:rsidR="00A61848" w:rsidRPr="008B3C9E" w:rsidRDefault="006212F4" w:rsidP="00DD4678">
      <w:pPr>
        <w:pStyle w:val="ListNumberLevel2"/>
      </w:pPr>
      <w:r w:rsidRPr="008B3C9E">
        <w:t>T</w:t>
      </w:r>
      <w:r w:rsidR="00A61848" w:rsidRPr="008B3C9E">
        <w:t>he CA of a MS or, in the case of a U</w:t>
      </w:r>
      <w:r w:rsidR="00F4424C">
        <w:t xml:space="preserve">nion </w:t>
      </w:r>
      <w:r w:rsidR="008B1ACD">
        <w:t>a</w:t>
      </w:r>
      <w:r w:rsidR="00F4424C">
        <w:t>uthorisation</w:t>
      </w:r>
      <w:r w:rsidR="00A61848" w:rsidRPr="008B3C9E">
        <w:t xml:space="preserve">, the Commission </w:t>
      </w:r>
      <w:r w:rsidR="003E7CF3">
        <w:t>must</w:t>
      </w:r>
      <w:r w:rsidR="00A61848" w:rsidRPr="008B3C9E">
        <w:t xml:space="preserve"> cancel or amend the authorisation where it considers that the conditions referred to in Article 19</w:t>
      </w:r>
      <w:r w:rsidR="006222AF" w:rsidRPr="008B3C9E">
        <w:rPr>
          <w:rStyle w:val="FootnoteReference"/>
        </w:rPr>
        <w:footnoteReference w:id="30"/>
      </w:r>
      <w:r w:rsidR="00A61848" w:rsidRPr="008B3C9E">
        <w:t xml:space="preserve"> or, where relevant, in Article 25</w:t>
      </w:r>
      <w:r w:rsidR="006222AF" w:rsidRPr="008B3C9E">
        <w:rPr>
          <w:rStyle w:val="FootnoteReference"/>
        </w:rPr>
        <w:footnoteReference w:id="31"/>
      </w:r>
      <w:r w:rsidR="00A61848" w:rsidRPr="008B3C9E">
        <w:t xml:space="preserve"> </w:t>
      </w:r>
      <w:r w:rsidR="00092896">
        <w:t>are no longer</w:t>
      </w:r>
      <w:r w:rsidR="008B1ACD">
        <w:t xml:space="preserve"> </w:t>
      </w:r>
      <w:r w:rsidR="00A61848" w:rsidRPr="008B3C9E">
        <w:t>satisfied.</w:t>
      </w:r>
    </w:p>
    <w:p w:rsidR="008F555B" w:rsidRPr="008B3C9E" w:rsidRDefault="00C74A2E" w:rsidP="00B169EC">
      <w:pPr>
        <w:pStyle w:val="ListNumberLevel2"/>
      </w:pPr>
      <w:r>
        <w:t>This</w:t>
      </w:r>
      <w:r w:rsidR="00692501" w:rsidRPr="008B3C9E">
        <w:t xml:space="preserve"> procedure </w:t>
      </w:r>
      <w:r w:rsidR="00A61848" w:rsidRPr="008B3C9E">
        <w:t xml:space="preserve">may </w:t>
      </w:r>
      <w:r>
        <w:t xml:space="preserve">therefore </w:t>
      </w:r>
      <w:r w:rsidR="00692501" w:rsidRPr="008B3C9E">
        <w:t xml:space="preserve">be </w:t>
      </w:r>
      <w:r w:rsidR="00A61848" w:rsidRPr="008B3C9E">
        <w:t>trigger</w:t>
      </w:r>
      <w:r w:rsidR="00692501" w:rsidRPr="008B3C9E">
        <w:t>ed</w:t>
      </w:r>
      <w:r w:rsidR="008D11B0" w:rsidRPr="008B3C9E">
        <w:t xml:space="preserve"> if </w:t>
      </w:r>
      <w:r w:rsidR="008F555B" w:rsidRPr="008B3C9E">
        <w:t xml:space="preserve">an </w:t>
      </w:r>
      <w:r w:rsidR="00681A6E">
        <w:t>active substance</w:t>
      </w:r>
      <w:r w:rsidR="008F555B" w:rsidRPr="008B3C9E">
        <w:t xml:space="preserve"> or </w:t>
      </w:r>
      <w:r w:rsidR="0017461A" w:rsidRPr="008B3C9E">
        <w:t xml:space="preserve">a </w:t>
      </w:r>
      <w:r w:rsidR="008F555B" w:rsidRPr="008B3C9E">
        <w:t>non-</w:t>
      </w:r>
      <w:r w:rsidR="00B169EC" w:rsidRPr="008B3C9E">
        <w:t>active substance</w:t>
      </w:r>
      <w:r w:rsidR="008F555B" w:rsidRPr="008B3C9E">
        <w:t xml:space="preserve"> contained in the biocidal products </w:t>
      </w:r>
      <w:r w:rsidR="00827AE1">
        <w:t xml:space="preserve">is determined to have </w:t>
      </w:r>
      <w:r w:rsidR="00DE7F78">
        <w:t xml:space="preserve">or </w:t>
      </w:r>
      <w:r w:rsidR="00A66500">
        <w:t>may</w:t>
      </w:r>
      <w:r>
        <w:t xml:space="preserve"> </w:t>
      </w:r>
      <w:r w:rsidR="008F555B" w:rsidRPr="008B3C9E">
        <w:t>hav</w:t>
      </w:r>
      <w:r>
        <w:t>e</w:t>
      </w:r>
      <w:r w:rsidR="008F555B" w:rsidRPr="008B3C9E">
        <w:t xml:space="preserve"> ED properties</w:t>
      </w:r>
      <w:r w:rsidR="00A66500">
        <w:rPr>
          <w:rStyle w:val="FootnoteReference"/>
        </w:rPr>
        <w:footnoteReference w:id="32"/>
      </w:r>
      <w:r w:rsidR="00B169EC" w:rsidRPr="008B3C9E">
        <w:t>.</w:t>
      </w:r>
    </w:p>
    <w:p w:rsidR="00A61848" w:rsidRDefault="008F555B" w:rsidP="00DD4678">
      <w:pPr>
        <w:pStyle w:val="ListNumberLevel2"/>
      </w:pPr>
      <w:r w:rsidRPr="008B3C9E">
        <w:t xml:space="preserve">The </w:t>
      </w:r>
      <w:r w:rsidR="00692501" w:rsidRPr="008B3C9E">
        <w:t>evaluating bod</w:t>
      </w:r>
      <w:r w:rsidR="00F72C76" w:rsidRPr="008B3C9E">
        <w:t>ies</w:t>
      </w:r>
      <w:r w:rsidR="00692501" w:rsidRPr="008B3C9E">
        <w:t xml:space="preserve"> will </w:t>
      </w:r>
      <w:r w:rsidR="00B770CA" w:rsidRPr="008B3C9E">
        <w:t>then</w:t>
      </w:r>
      <w:r w:rsidR="0017461A" w:rsidRPr="008B3C9E">
        <w:t xml:space="preserve"> </w:t>
      </w:r>
      <w:r w:rsidR="00B169EC" w:rsidRPr="008B3C9E">
        <w:t>consider the new available information on the</w:t>
      </w:r>
      <w:r w:rsidR="00A61848" w:rsidRPr="008B3C9E">
        <w:t xml:space="preserve"> </w:t>
      </w:r>
      <w:r w:rsidR="00D1784C">
        <w:t>active substance</w:t>
      </w:r>
      <w:r w:rsidR="003A1037" w:rsidRPr="008B3C9E">
        <w:t>(s) and non-active substance(s) in the product</w:t>
      </w:r>
      <w:r w:rsidR="00A61848" w:rsidRPr="008B3C9E">
        <w:t>.</w:t>
      </w:r>
    </w:p>
    <w:p w:rsidR="007F511B" w:rsidRPr="008B3C9E" w:rsidRDefault="007F511B" w:rsidP="00DD4678">
      <w:pPr>
        <w:pStyle w:val="ListNumberLevel2"/>
      </w:pPr>
      <w:r>
        <w:t>The authorisation holder shall be informed about the intention to cancel or amend an authorisation and given the opportunity to submit comments or additional information within a specified time limit.</w:t>
      </w:r>
    </w:p>
    <w:p w:rsidR="00A61848" w:rsidRPr="008B3C9E" w:rsidRDefault="00A61848" w:rsidP="00DD4678">
      <w:pPr>
        <w:pStyle w:val="ListNumberLevel2"/>
      </w:pPr>
      <w:r w:rsidRPr="008B3C9E">
        <w:t xml:space="preserve">Where </w:t>
      </w:r>
      <w:r w:rsidR="008F555B" w:rsidRPr="008B3C9E">
        <w:t xml:space="preserve">the evaluating body </w:t>
      </w:r>
      <w:r w:rsidRPr="008B3C9E">
        <w:t>conclu</w:t>
      </w:r>
      <w:r w:rsidR="006222AF" w:rsidRPr="008B3C9E">
        <w:t>des</w:t>
      </w:r>
      <w:r w:rsidRPr="008B3C9E">
        <w:t xml:space="preserve"> that the product authorisation needs to be amended or cancelled</w:t>
      </w:r>
      <w:r w:rsidR="009537A0">
        <w:t>,</w:t>
      </w:r>
      <w:r w:rsidRPr="008B3C9E">
        <w:t xml:space="preserve"> and </w:t>
      </w:r>
      <w:r w:rsidR="0003429E">
        <w:t>the authorisation</w:t>
      </w:r>
      <w:r w:rsidRPr="008B3C9E">
        <w:t xml:space="preserve"> </w:t>
      </w:r>
      <w:r w:rsidR="006222AF" w:rsidRPr="008B3C9E">
        <w:t>has been</w:t>
      </w:r>
      <w:r w:rsidRPr="008B3C9E">
        <w:t xml:space="preserve"> </w:t>
      </w:r>
      <w:r w:rsidR="006222AF" w:rsidRPr="008B3C9E">
        <w:t>granted</w:t>
      </w:r>
      <w:r w:rsidRPr="008B3C9E">
        <w:t xml:space="preserve"> by several </w:t>
      </w:r>
      <w:r w:rsidRPr="008B3C9E">
        <w:lastRenderedPageBreak/>
        <w:t xml:space="preserve">MSs, the provisions in Article 48(3) apply so that </w:t>
      </w:r>
      <w:r w:rsidR="00F72C76" w:rsidRPr="008B3C9E">
        <w:t xml:space="preserve">all </w:t>
      </w:r>
      <w:r w:rsidRPr="008B3C9E">
        <w:t xml:space="preserve">MSs </w:t>
      </w:r>
      <w:r w:rsidR="00692501" w:rsidRPr="008B3C9E">
        <w:t xml:space="preserve">are informed and </w:t>
      </w:r>
      <w:r w:rsidRPr="008B3C9E">
        <w:t>can follow a coordinated approach.</w:t>
      </w:r>
    </w:p>
    <w:p w:rsidR="00A61848" w:rsidRPr="008B3C9E" w:rsidRDefault="008F555B" w:rsidP="00DD4678">
      <w:pPr>
        <w:pStyle w:val="ListNumber"/>
      </w:pPr>
      <w:r w:rsidRPr="008B3C9E">
        <w:t xml:space="preserve">The second </w:t>
      </w:r>
      <w:r w:rsidR="009D79A1">
        <w:t xml:space="preserve">set of </w:t>
      </w:r>
      <w:r w:rsidR="006E0201" w:rsidRPr="008B3C9E">
        <w:t>provisions</w:t>
      </w:r>
      <w:r w:rsidR="00C74A2E">
        <w:t>,</w:t>
      </w:r>
      <w:r w:rsidR="006E0201" w:rsidRPr="008B3C9E">
        <w:t xml:space="preserve"> on</w:t>
      </w:r>
      <w:r w:rsidR="00A61848" w:rsidRPr="008B3C9E">
        <w:t xml:space="preserve"> renewal of the authorisation</w:t>
      </w:r>
      <w:r w:rsidR="00C74A2E">
        <w:t>, are set out in</w:t>
      </w:r>
      <w:r w:rsidR="00A61848" w:rsidRPr="008B3C9E">
        <w:t xml:space="preserve"> Article 31(6) or 46 of the BPR, or Article 4 of Commission Delegated Regulation (EU) No 492/2014</w:t>
      </w:r>
      <w:r w:rsidR="00286707" w:rsidRPr="008B3C9E">
        <w:rPr>
          <w:rStyle w:val="FootnoteReference"/>
        </w:rPr>
        <w:footnoteReference w:id="33"/>
      </w:r>
      <w:r w:rsidR="003A1037" w:rsidRPr="008B3C9E">
        <w:t>:</w:t>
      </w:r>
    </w:p>
    <w:p w:rsidR="004F5322" w:rsidRPr="008B3C9E" w:rsidRDefault="00A61848" w:rsidP="00DD4678">
      <w:pPr>
        <w:pStyle w:val="ListNumberLevel2"/>
      </w:pPr>
      <w:r w:rsidRPr="008B3C9E">
        <w:t>The evaluating body will</w:t>
      </w:r>
      <w:r w:rsidR="0057245D">
        <w:t>,</w:t>
      </w:r>
      <w:r w:rsidRPr="008B3C9E">
        <w:t xml:space="preserve"> </w:t>
      </w:r>
      <w:r w:rsidR="009D79A1">
        <w:t>at the</w:t>
      </w:r>
      <w:r w:rsidR="009D79A1" w:rsidRPr="008B3C9E">
        <w:t xml:space="preserve"> </w:t>
      </w:r>
      <w:r w:rsidR="00B82D34" w:rsidRPr="008B3C9E">
        <w:t>renewal</w:t>
      </w:r>
      <w:r w:rsidR="009D79A1">
        <w:t xml:space="preserve"> stage</w:t>
      </w:r>
      <w:r w:rsidR="0057245D">
        <w:t>, again assess</w:t>
      </w:r>
      <w:r w:rsidRPr="008B3C9E">
        <w:t xml:space="preserve"> </w:t>
      </w:r>
      <w:r w:rsidR="009537A0">
        <w:t>whether</w:t>
      </w:r>
      <w:r w:rsidRPr="008B3C9E">
        <w:t xml:space="preserve"> the conditions in Article 19 </w:t>
      </w:r>
      <w:r w:rsidR="003A1037" w:rsidRPr="008B3C9E">
        <w:t xml:space="preserve">or 25 </w:t>
      </w:r>
      <w:r w:rsidRPr="008B3C9E">
        <w:t xml:space="preserve">of the BPR </w:t>
      </w:r>
      <w:r w:rsidR="009D79A1">
        <w:t>are still</w:t>
      </w:r>
      <w:r w:rsidR="009537A0">
        <w:t xml:space="preserve"> </w:t>
      </w:r>
      <w:r w:rsidRPr="008B3C9E">
        <w:t>met, including the ED properties</w:t>
      </w:r>
      <w:r w:rsidR="003A1037" w:rsidRPr="008B3C9E">
        <w:t xml:space="preserve"> of </w:t>
      </w:r>
      <w:r w:rsidR="009D79A1" w:rsidRPr="008B3C9E">
        <w:t xml:space="preserve">the product </w:t>
      </w:r>
      <w:r w:rsidR="009D79A1">
        <w:t xml:space="preserve">due to </w:t>
      </w:r>
      <w:r w:rsidR="003A1037" w:rsidRPr="008B3C9E">
        <w:t xml:space="preserve">the </w:t>
      </w:r>
      <w:r w:rsidR="00D1784C">
        <w:t>active substance</w:t>
      </w:r>
      <w:r w:rsidR="003D47AB" w:rsidRPr="008B3C9E">
        <w:t>(s)</w:t>
      </w:r>
      <w:r w:rsidR="009D79A1">
        <w:t xml:space="preserve"> or the </w:t>
      </w:r>
      <w:r w:rsidR="003A1037" w:rsidRPr="008B3C9E">
        <w:t>non-active substance</w:t>
      </w:r>
      <w:r w:rsidR="003D47AB" w:rsidRPr="008B3C9E">
        <w:t>(</w:t>
      </w:r>
      <w:r w:rsidR="003A1037" w:rsidRPr="008B3C9E">
        <w:t>s</w:t>
      </w:r>
      <w:r w:rsidR="003D47AB" w:rsidRPr="008B3C9E">
        <w:t>)</w:t>
      </w:r>
      <w:r w:rsidR="003A1037" w:rsidRPr="008B3C9E">
        <w:t xml:space="preserve"> </w:t>
      </w:r>
      <w:r w:rsidR="009D79A1">
        <w:t>in it</w:t>
      </w:r>
      <w:r w:rsidRPr="008B3C9E">
        <w:t>.</w:t>
      </w:r>
    </w:p>
    <w:p w:rsidR="003F6C87" w:rsidRPr="008B3C9E" w:rsidRDefault="003F6C87" w:rsidP="00DD4678">
      <w:pPr>
        <w:pStyle w:val="ListNumberLevel2"/>
      </w:pPr>
      <w:r w:rsidRPr="008B3C9E">
        <w:t xml:space="preserve">Depending on the outcome of that assessment and the regulatory consequences linked to the ED properties of the product or its components, </w:t>
      </w:r>
      <w:r w:rsidR="00A61848" w:rsidRPr="008B3C9E">
        <w:t xml:space="preserve">the evaluating body may propose to amend the terms and conditions of the product authorisation in the renewal decision or even to </w:t>
      </w:r>
      <w:r w:rsidR="00AC0552" w:rsidRPr="008B3C9E">
        <w:t>adopt</w:t>
      </w:r>
      <w:r w:rsidR="00A61848" w:rsidRPr="008B3C9E">
        <w:t xml:space="preserve"> a non-renewal decision.</w:t>
      </w:r>
    </w:p>
    <w:p w:rsidR="00E80D74" w:rsidRDefault="004F5322" w:rsidP="00DD4678">
      <w:pPr>
        <w:pStyle w:val="ListNumberLevel2"/>
      </w:pPr>
      <w:r w:rsidRPr="008B3C9E">
        <w:t xml:space="preserve">Where </w:t>
      </w:r>
      <w:r w:rsidR="00AC0552" w:rsidRPr="008B3C9E">
        <w:t>a national</w:t>
      </w:r>
      <w:r w:rsidRPr="008B3C9E">
        <w:t xml:space="preserve"> </w:t>
      </w:r>
      <w:r w:rsidR="003D47AB" w:rsidRPr="008B3C9E">
        <w:t>authorisation</w:t>
      </w:r>
      <w:r w:rsidRPr="008B3C9E">
        <w:t xml:space="preserve"> </w:t>
      </w:r>
      <w:r w:rsidR="003D47AB" w:rsidRPr="008B3C9E">
        <w:t>has been granted</w:t>
      </w:r>
      <w:r w:rsidRPr="008B3C9E">
        <w:t xml:space="preserve"> </w:t>
      </w:r>
      <w:r w:rsidR="003D47AB" w:rsidRPr="008B3C9E">
        <w:t>under similar condition</w:t>
      </w:r>
      <w:r w:rsidR="00AC0552" w:rsidRPr="008B3C9E">
        <w:t>s</w:t>
      </w:r>
      <w:r w:rsidR="003D47AB" w:rsidRPr="008B3C9E">
        <w:t xml:space="preserve"> </w:t>
      </w:r>
      <w:r w:rsidRPr="008B3C9E">
        <w:t>by several MSs, Regulation (EU) No 492/2014 appl</w:t>
      </w:r>
      <w:r w:rsidR="009537A0">
        <w:t>ies</w:t>
      </w:r>
      <w:r w:rsidRPr="008B3C9E">
        <w:t xml:space="preserve"> so that all these MSs can follow a coordinated approach</w:t>
      </w:r>
      <w:r w:rsidR="005F17ED">
        <w:t xml:space="preserve"> for the renewal of these biocidal products</w:t>
      </w:r>
      <w:r w:rsidRPr="008B3C9E">
        <w:t>.</w:t>
      </w:r>
    </w:p>
    <w:p w:rsidR="00571636" w:rsidRDefault="009E4E35" w:rsidP="00C066D0">
      <w:pPr>
        <w:pStyle w:val="ListNumber"/>
      </w:pPr>
      <w:r>
        <w:t>Th</w:t>
      </w:r>
      <w:r w:rsidR="00C066D0">
        <w:t>e evaluating body m</w:t>
      </w:r>
      <w:r w:rsidR="00C066D0" w:rsidRPr="008B3C9E">
        <w:t xml:space="preserve">ay </w:t>
      </w:r>
      <w:r w:rsidR="005F75D8">
        <w:t>ask advice of the Endocrine Disruptor Expert Group</w:t>
      </w:r>
      <w:r w:rsidR="00C066D0">
        <w:t xml:space="preserve">, </w:t>
      </w:r>
      <w:r w:rsidR="00C066D0" w:rsidRPr="008B3C9E">
        <w:t xml:space="preserve">either to decide </w:t>
      </w:r>
      <w:r w:rsidR="00C066D0">
        <w:t>which</w:t>
      </w:r>
      <w:r w:rsidR="00C066D0" w:rsidRPr="008B3C9E">
        <w:t xml:space="preserve"> </w:t>
      </w:r>
      <w:r w:rsidR="00C066D0">
        <w:t xml:space="preserve">additional </w:t>
      </w:r>
      <w:r w:rsidR="00C066D0" w:rsidRPr="008B3C9E">
        <w:t>data to request</w:t>
      </w:r>
      <w:r w:rsidR="00C066D0">
        <w:t xml:space="preserve"> and/</w:t>
      </w:r>
      <w:r w:rsidR="00C066D0" w:rsidRPr="008B3C9E">
        <w:t xml:space="preserve">or to reach conclusions </w:t>
      </w:r>
      <w:r w:rsidR="00C066D0">
        <w:t xml:space="preserve">based on </w:t>
      </w:r>
      <w:r w:rsidR="00C066D0" w:rsidRPr="008B3C9E">
        <w:t xml:space="preserve">the evaluation of the ED properties of the </w:t>
      </w:r>
      <w:r w:rsidR="009D79A1">
        <w:t>biocidal product</w:t>
      </w:r>
      <w:r w:rsidR="00C066D0" w:rsidRPr="008B3C9E">
        <w:t>.</w:t>
      </w:r>
    </w:p>
    <w:p w:rsidR="001B4CC1" w:rsidRDefault="001B4CC1" w:rsidP="001B4CC1">
      <w:pPr>
        <w:pStyle w:val="ListNumber"/>
        <w:numPr>
          <w:ilvl w:val="0"/>
          <w:numId w:val="0"/>
        </w:numPr>
        <w:ind w:left="709"/>
      </w:pPr>
    </w:p>
    <w:p w:rsidR="00107AF3" w:rsidRPr="00FA38A4" w:rsidRDefault="000E5B94" w:rsidP="00C262F8">
      <w:pPr>
        <w:pStyle w:val="Heading1"/>
      </w:pPr>
      <w:r>
        <w:t>3</w:t>
      </w:r>
      <w:r w:rsidR="00107AF3" w:rsidRPr="008B3C9E">
        <w:t xml:space="preserve">.- </w:t>
      </w:r>
      <w:r w:rsidR="00107AF3">
        <w:rPr>
          <w:smallCaps w:val="0"/>
        </w:rPr>
        <w:t xml:space="preserve">Biocidal products </w:t>
      </w:r>
      <w:r w:rsidR="00583AF5" w:rsidRPr="00F75254">
        <w:rPr>
          <w:smallCaps w:val="0"/>
        </w:rPr>
        <w:t>made</w:t>
      </w:r>
      <w:r w:rsidR="00583AF5" w:rsidRPr="00C262F8">
        <w:rPr>
          <w:smallCaps w:val="0"/>
        </w:rPr>
        <w:t xml:space="preserve"> available </w:t>
      </w:r>
      <w:r w:rsidR="00583AF5" w:rsidRPr="00F75254">
        <w:rPr>
          <w:smallCaps w:val="0"/>
        </w:rPr>
        <w:t>and used during the transitional</w:t>
      </w:r>
      <w:r w:rsidR="00583AF5">
        <w:rPr>
          <w:smallCaps w:val="0"/>
        </w:rPr>
        <w:t xml:space="preserve"> </w:t>
      </w:r>
      <w:r w:rsidR="00107AF3">
        <w:rPr>
          <w:smallCaps w:val="0"/>
        </w:rPr>
        <w:t>measures</w:t>
      </w:r>
    </w:p>
    <w:p w:rsidR="00107AF3" w:rsidRPr="008B3C9E" w:rsidRDefault="00107AF3" w:rsidP="00107AF3">
      <w:pPr>
        <w:pStyle w:val="ListNumber"/>
      </w:pPr>
      <w:r>
        <w:t xml:space="preserve">In accordance with Article 89(2) of the BPR a Member State may continue to apply its current system or practice of making available on the market or using a given biocidal product for up to three years after the date of approval of the last of the active substances to be approved in that biocidal product. For these type of products Member States should decide whether to apply the ED criteria during the transitional period, and, where the MS decides to apply the ED criteria, to determine the appropriate procedure.  </w:t>
      </w:r>
    </w:p>
    <w:p w:rsidR="008D28FF" w:rsidRPr="008B3C9E" w:rsidRDefault="008D28FF" w:rsidP="00844980">
      <w:pPr>
        <w:pStyle w:val="ListNumber"/>
        <w:numPr>
          <w:ilvl w:val="0"/>
          <w:numId w:val="0"/>
        </w:numPr>
      </w:pPr>
    </w:p>
    <w:sectPr w:rsidR="008D28FF" w:rsidRPr="008B3C9E" w:rsidSect="003D47AB">
      <w:headerReference w:type="default" r:id="rId15"/>
      <w:footerReference w:type="even" r:id="rId16"/>
      <w:footerReference w:type="default" r:id="rId17"/>
      <w:headerReference w:type="first" r:id="rId18"/>
      <w:footerReference w:type="first" r:id="rId19"/>
      <w:pgSz w:w="11906" w:h="16838"/>
      <w:pgMar w:top="1021" w:right="1701" w:bottom="1021" w:left="1225" w:header="601" w:footer="1077" w:gutter="0"/>
      <w:cols w:space="720"/>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B417CA" w15:done="0"/>
  <w15:commentEx w15:paraId="54C65432" w15:done="0"/>
  <w15:commentEx w15:paraId="7440B5FF" w15:done="0"/>
  <w15:commentEx w15:paraId="7440B600" w15:done="0"/>
  <w15:commentEx w15:paraId="78AA0CEA" w15:done="0"/>
  <w15:commentEx w15:paraId="23410F5D" w15:done="0"/>
  <w15:commentEx w15:paraId="7440B601" w15:done="0"/>
  <w15:commentEx w15:paraId="1921F985" w15:done="0"/>
  <w15:commentEx w15:paraId="7440B602" w15:done="0"/>
  <w15:commentEx w15:paraId="7440B60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174" w:rsidRPr="008B3C9E" w:rsidRDefault="00AD4174">
      <w:r w:rsidRPr="008B3C9E">
        <w:separator/>
      </w:r>
    </w:p>
  </w:endnote>
  <w:endnote w:type="continuationSeparator" w:id="0">
    <w:p w:rsidR="00AD4174" w:rsidRPr="008B3C9E" w:rsidRDefault="00AD4174">
      <w:r w:rsidRPr="008B3C9E">
        <w:continuationSeparator/>
      </w:r>
    </w:p>
  </w:endnote>
  <w:endnote w:type="continuationNotice" w:id="1">
    <w:p w:rsidR="00AD4174" w:rsidRDefault="00AD417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47D" w:rsidRPr="008B3C9E" w:rsidRDefault="0074247D" w:rsidP="00AE314F">
    <w:pPr>
      <w:pStyle w:val="Footer"/>
      <w:framePr w:wrap="around" w:vAnchor="text" w:hAnchor="margin" w:xAlign="right" w:y="1"/>
      <w:rPr>
        <w:rStyle w:val="PageNumber"/>
      </w:rPr>
    </w:pPr>
    <w:r w:rsidRPr="008B3C9E">
      <w:rPr>
        <w:rStyle w:val="PageNumber"/>
      </w:rPr>
      <w:fldChar w:fldCharType="begin"/>
    </w:r>
    <w:r w:rsidRPr="008B3C9E">
      <w:rPr>
        <w:rStyle w:val="PageNumber"/>
      </w:rPr>
      <w:instrText xml:space="preserve">PAGE  </w:instrText>
    </w:r>
    <w:r w:rsidRPr="008B3C9E">
      <w:rPr>
        <w:rStyle w:val="PageNumber"/>
      </w:rPr>
      <w:fldChar w:fldCharType="end"/>
    </w:r>
  </w:p>
  <w:p w:rsidR="0074247D" w:rsidRPr="008B3C9E" w:rsidRDefault="0074247D" w:rsidP="006133B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47D" w:rsidRPr="008B3C9E" w:rsidRDefault="0074247D">
    <w:pPr>
      <w:pStyle w:val="Footer"/>
      <w:jc w:val="right"/>
    </w:pPr>
    <w:r w:rsidRPr="008B3C9E">
      <w:fldChar w:fldCharType="begin"/>
    </w:r>
    <w:r w:rsidRPr="008B3C9E">
      <w:instrText xml:space="preserve"> PAGE   \* MERGEFORMAT </w:instrText>
    </w:r>
    <w:r w:rsidRPr="008B3C9E">
      <w:fldChar w:fldCharType="separate"/>
    </w:r>
    <w:r w:rsidR="00D36FAB">
      <w:rPr>
        <w:noProof/>
      </w:rPr>
      <w:t>3</w:t>
    </w:r>
    <w:r w:rsidRPr="008B3C9E">
      <w:fldChar w:fldCharType="end"/>
    </w:r>
    <w:r>
      <w:t>/</w:t>
    </w:r>
    <w:r w:rsidR="008356F8">
      <w:t>13</w:t>
    </w:r>
  </w:p>
  <w:p w:rsidR="0074247D" w:rsidRPr="008B3C9E" w:rsidRDefault="0074247D" w:rsidP="006133B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47D" w:rsidRPr="008B3C9E" w:rsidRDefault="0074247D">
    <w:pPr>
      <w:pStyle w:val="Footer"/>
      <w:rPr>
        <w:sz w:val="24"/>
        <w:szCs w:val="24"/>
      </w:rPr>
    </w:pPr>
  </w:p>
  <w:p w:rsidR="0074247D" w:rsidRPr="008B3C9E" w:rsidRDefault="0074247D">
    <w:pPr>
      <w:pStyle w:val="Footer"/>
    </w:pPr>
    <w:r w:rsidRPr="005F17ED">
      <w:rPr>
        <w:lang w:val="fr-BE"/>
      </w:rPr>
      <w:t xml:space="preserve">Commission européenne/Europese Commissie, 1049 Bruxelles/Brussel, BELGIQUE/BELGIË — Tel. </w:t>
    </w:r>
    <w:r w:rsidRPr="008B3C9E">
      <w:t>+32</w:t>
    </w:r>
    <w:r>
      <w:t> </w:t>
    </w:r>
    <w:r w:rsidRPr="008B3C9E">
      <w:t>22991111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174" w:rsidRPr="008B3C9E" w:rsidRDefault="00AD4174">
      <w:r w:rsidRPr="008B3C9E">
        <w:separator/>
      </w:r>
    </w:p>
  </w:footnote>
  <w:footnote w:type="continuationSeparator" w:id="0">
    <w:p w:rsidR="00AD4174" w:rsidRPr="008B3C9E" w:rsidRDefault="00AD4174">
      <w:r w:rsidRPr="008B3C9E">
        <w:continuationSeparator/>
      </w:r>
    </w:p>
  </w:footnote>
  <w:footnote w:type="continuationNotice" w:id="1">
    <w:p w:rsidR="00AD4174" w:rsidRDefault="00AD4174">
      <w:pPr>
        <w:spacing w:after="0"/>
      </w:pPr>
    </w:p>
  </w:footnote>
  <w:footnote w:id="2">
    <w:p w:rsidR="0074247D" w:rsidRPr="008B3C9E" w:rsidRDefault="0074247D" w:rsidP="00DE7672">
      <w:pPr>
        <w:pStyle w:val="FootnoteText"/>
        <w:spacing w:before="120" w:after="0"/>
        <w:rPr>
          <w:lang w:val="en-GB"/>
        </w:rPr>
      </w:pPr>
      <w:r w:rsidRPr="008B3C9E">
        <w:rPr>
          <w:rStyle w:val="FootnoteReference"/>
          <w:lang w:val="en-GB"/>
        </w:rPr>
        <w:footnoteRef/>
      </w:r>
      <w:r w:rsidRPr="008B3C9E">
        <w:rPr>
          <w:lang w:val="en-GB"/>
        </w:rPr>
        <w:t xml:space="preserve">  </w:t>
      </w:r>
      <w:r w:rsidRPr="008B3C9E">
        <w:rPr>
          <w:lang w:val="en-GB"/>
        </w:rPr>
        <w:tab/>
      </w:r>
      <w:r w:rsidR="00AA4C23">
        <w:rPr>
          <w:lang w:val="en-GB"/>
        </w:rPr>
        <w:t xml:space="preserve">Commission Delegated Regulation (EU) 2017/2100 was published on 17 November 2017 (see link for all official languages in official journal: </w:t>
      </w:r>
      <w:hyperlink r:id="rId1" w:history="1">
        <w:r w:rsidR="00AA4C23" w:rsidRPr="006F0E85">
          <w:rPr>
            <w:rStyle w:val="Hyperlink"/>
            <w:lang w:val="en-GB"/>
          </w:rPr>
          <w:t>http://eur-lex.europa.eu/eli/reg_del/2017/2100/oj</w:t>
        </w:r>
      </w:hyperlink>
      <w:r w:rsidR="00AA4C23">
        <w:rPr>
          <w:lang w:val="en-GB"/>
        </w:rPr>
        <w:t>) and will</w:t>
      </w:r>
      <w:r w:rsidR="00DF4705">
        <w:rPr>
          <w:lang w:val="en-GB"/>
        </w:rPr>
        <w:t xml:space="preserve"> be applicable as of 7 June 2018</w:t>
      </w:r>
      <w:r w:rsidR="00AA4C23">
        <w:rPr>
          <w:lang w:val="en-GB"/>
        </w:rPr>
        <w:t>.</w:t>
      </w:r>
    </w:p>
  </w:footnote>
  <w:footnote w:id="3">
    <w:p w:rsidR="0074247D" w:rsidRPr="008B3C9E" w:rsidRDefault="0074247D" w:rsidP="00DE7672">
      <w:pPr>
        <w:pStyle w:val="FootnoteText"/>
        <w:spacing w:before="120" w:after="0"/>
        <w:rPr>
          <w:lang w:val="en-GB"/>
        </w:rPr>
      </w:pPr>
      <w:r w:rsidRPr="008B3C9E">
        <w:rPr>
          <w:rStyle w:val="FootnoteReference"/>
          <w:lang w:val="en-GB"/>
        </w:rPr>
        <w:footnoteRef/>
      </w:r>
      <w:r w:rsidRPr="008B3C9E">
        <w:rPr>
          <w:lang w:val="en-GB"/>
        </w:rPr>
        <w:t xml:space="preserve"> </w:t>
      </w:r>
      <w:r w:rsidRPr="008B3C9E">
        <w:rPr>
          <w:lang w:val="en-GB"/>
        </w:rPr>
        <w:tab/>
        <w:t>Regulation (EU) No 528/2012 of the European Parliament and of the Council of 22 May 2012 concerning the making available on the market and use of biocidal products (OJ L 167, 27.6.2012, p. 1).</w:t>
      </w:r>
    </w:p>
  </w:footnote>
  <w:footnote w:id="4">
    <w:p w:rsidR="0074247D" w:rsidRPr="008B3C9E" w:rsidRDefault="0074247D" w:rsidP="00DE7672">
      <w:pPr>
        <w:pStyle w:val="FootnoteText"/>
        <w:spacing w:before="120" w:after="0"/>
        <w:rPr>
          <w:lang w:val="en-GB"/>
        </w:rPr>
      </w:pPr>
      <w:r w:rsidRPr="008B3C9E">
        <w:rPr>
          <w:rStyle w:val="FootnoteReference"/>
          <w:lang w:val="en-GB"/>
        </w:rPr>
        <w:footnoteRef/>
      </w:r>
      <w:r w:rsidRPr="008B3C9E">
        <w:rPr>
          <w:lang w:val="en-GB"/>
        </w:rPr>
        <w:t xml:space="preserve"> </w:t>
      </w:r>
      <w:r w:rsidRPr="008B3C9E">
        <w:rPr>
          <w:lang w:val="en-GB"/>
        </w:rPr>
        <w:tab/>
        <w:t>For procedures of mutual recognition in parallel, before the reference MS sends its assessment report and the summary of biocidal product characteristics (SPC) to the MSs</w:t>
      </w:r>
      <w:r>
        <w:rPr>
          <w:lang w:val="en-GB"/>
        </w:rPr>
        <w:t xml:space="preserve"> concerned</w:t>
      </w:r>
      <w:r w:rsidRPr="008B3C9E">
        <w:rPr>
          <w:lang w:val="en-GB"/>
        </w:rPr>
        <w:t>.</w:t>
      </w:r>
    </w:p>
  </w:footnote>
  <w:footnote w:id="5">
    <w:p w:rsidR="0074247D" w:rsidRPr="008B3C9E" w:rsidRDefault="0074247D" w:rsidP="00DE7672">
      <w:pPr>
        <w:pStyle w:val="FootnoteText"/>
        <w:spacing w:before="120" w:after="0"/>
        <w:rPr>
          <w:lang w:val="en-GB"/>
        </w:rPr>
      </w:pPr>
      <w:r w:rsidRPr="008B3C9E">
        <w:rPr>
          <w:rStyle w:val="FootnoteReference"/>
          <w:lang w:val="en-GB"/>
        </w:rPr>
        <w:footnoteRef/>
      </w:r>
      <w:r w:rsidRPr="008B3C9E">
        <w:rPr>
          <w:lang w:val="en-GB"/>
        </w:rPr>
        <w:t xml:space="preserve">  </w:t>
      </w:r>
      <w:r w:rsidRPr="008B3C9E">
        <w:rPr>
          <w:lang w:val="en-GB"/>
        </w:rPr>
        <w:tab/>
        <w:t xml:space="preserve">For Union </w:t>
      </w:r>
      <w:r>
        <w:rPr>
          <w:lang w:val="en-GB"/>
        </w:rPr>
        <w:t>a</w:t>
      </w:r>
      <w:r w:rsidRPr="008B3C9E">
        <w:rPr>
          <w:lang w:val="en-GB"/>
        </w:rPr>
        <w:t xml:space="preserve">uthorisation procedures, before the evaluating CA sends the </w:t>
      </w:r>
      <w:r>
        <w:rPr>
          <w:lang w:val="en-GB"/>
        </w:rPr>
        <w:t>assessment report</w:t>
      </w:r>
      <w:r w:rsidRPr="008B3C9E">
        <w:rPr>
          <w:lang w:val="en-GB"/>
        </w:rPr>
        <w:t xml:space="preserve"> and the conclusions of its evaluation to the Agency.</w:t>
      </w:r>
    </w:p>
  </w:footnote>
  <w:footnote w:id="6">
    <w:p w:rsidR="0074247D" w:rsidRPr="008B3C9E" w:rsidRDefault="0074247D" w:rsidP="00CA371E">
      <w:pPr>
        <w:pStyle w:val="FootnoteText"/>
        <w:spacing w:before="120" w:after="0"/>
        <w:rPr>
          <w:lang w:val="en-GB"/>
        </w:rPr>
      </w:pPr>
      <w:r w:rsidRPr="008B3C9E">
        <w:rPr>
          <w:rStyle w:val="FootnoteReference"/>
          <w:lang w:val="en-GB"/>
        </w:rPr>
        <w:footnoteRef/>
      </w:r>
      <w:r w:rsidRPr="008B3C9E">
        <w:rPr>
          <w:lang w:val="en-GB"/>
        </w:rPr>
        <w:t xml:space="preserve"> </w:t>
      </w:r>
      <w:r w:rsidRPr="008B3C9E">
        <w:rPr>
          <w:lang w:val="en-GB"/>
        </w:rPr>
        <w:tab/>
        <w:t>I.e. the CA responsible for the evaluation of the application referred to in Article</w:t>
      </w:r>
      <w:r w:rsidR="00FB251B">
        <w:rPr>
          <w:lang w:val="en-GB"/>
        </w:rPr>
        <w:t>s</w:t>
      </w:r>
      <w:r w:rsidRPr="008B3C9E">
        <w:rPr>
          <w:lang w:val="en-GB"/>
        </w:rPr>
        <w:t xml:space="preserve"> 26(1), 30(1), 34(1) or 44(1) of the BPR.</w:t>
      </w:r>
    </w:p>
  </w:footnote>
  <w:footnote w:id="7">
    <w:p w:rsidR="00F7633A" w:rsidRPr="008B3C9E" w:rsidRDefault="00F7633A" w:rsidP="00F7633A">
      <w:pPr>
        <w:pStyle w:val="FootnoteText"/>
        <w:spacing w:before="120" w:after="0"/>
        <w:rPr>
          <w:lang w:val="en-GB"/>
        </w:rPr>
      </w:pPr>
      <w:r w:rsidRPr="008B3C9E">
        <w:rPr>
          <w:rStyle w:val="FootnoteReference"/>
          <w:lang w:val="en-GB"/>
        </w:rPr>
        <w:footnoteRef/>
      </w:r>
      <w:r w:rsidRPr="008B3C9E">
        <w:rPr>
          <w:lang w:val="en-GB"/>
        </w:rPr>
        <w:t xml:space="preserve"> </w:t>
      </w:r>
      <w:r w:rsidRPr="008B3C9E">
        <w:rPr>
          <w:lang w:val="en-GB"/>
        </w:rPr>
        <w:tab/>
        <w:t>E.g. Authorisation can be granted only where at least one of the conditions in Article 5(2) is met in the MS</w:t>
      </w:r>
      <w:r>
        <w:rPr>
          <w:lang w:val="en-GB"/>
        </w:rPr>
        <w:t>.</w:t>
      </w:r>
      <w:r w:rsidRPr="008B3C9E">
        <w:rPr>
          <w:lang w:val="en-GB"/>
        </w:rPr>
        <w:t xml:space="preserve"> </w:t>
      </w:r>
      <w:r>
        <w:rPr>
          <w:lang w:val="en-GB"/>
        </w:rPr>
        <w:t>I</w:t>
      </w:r>
      <w:r w:rsidRPr="008B3C9E">
        <w:rPr>
          <w:lang w:val="en-GB"/>
        </w:rPr>
        <w:t>n such a case</w:t>
      </w:r>
      <w:r>
        <w:rPr>
          <w:lang w:val="en-GB"/>
        </w:rPr>
        <w:t>:</w:t>
      </w:r>
      <w:r w:rsidRPr="008B3C9E">
        <w:rPr>
          <w:lang w:val="en-GB"/>
        </w:rPr>
        <w:t xml:space="preserve"> a comparative assessment needs to be carried out (Article 23)</w:t>
      </w:r>
      <w:r>
        <w:rPr>
          <w:lang w:val="en-GB"/>
        </w:rPr>
        <w:t>,</w:t>
      </w:r>
      <w:r w:rsidRPr="008B3C9E">
        <w:rPr>
          <w:lang w:val="en-GB"/>
        </w:rPr>
        <w:t xml:space="preserve"> the product cannot be authorised for the general public (Article 19(4))</w:t>
      </w:r>
      <w:r>
        <w:rPr>
          <w:lang w:val="en-GB"/>
        </w:rPr>
        <w:t>,</w:t>
      </w:r>
      <w:r w:rsidRPr="008B3C9E">
        <w:rPr>
          <w:lang w:val="en-GB"/>
        </w:rPr>
        <w:t xml:space="preserve"> the qualitative and quantitative composition of </w:t>
      </w:r>
      <w:r>
        <w:rPr>
          <w:lang w:val="en-GB"/>
        </w:rPr>
        <w:t xml:space="preserve">the </w:t>
      </w:r>
      <w:r w:rsidRPr="008B3C9E">
        <w:rPr>
          <w:lang w:val="en-GB"/>
        </w:rPr>
        <w:t>SoC have to be listed in the SPC (Article 22(2)(e))</w:t>
      </w:r>
      <w:r>
        <w:rPr>
          <w:lang w:val="en-GB"/>
        </w:rPr>
        <w:t>,</w:t>
      </w:r>
      <w:r w:rsidRPr="008B3C9E">
        <w:rPr>
          <w:lang w:val="en-GB"/>
        </w:rPr>
        <w:t xml:space="preserve"> etc</w:t>
      </w:r>
      <w:r>
        <w:rPr>
          <w:lang w:val="en-GB"/>
        </w:rPr>
        <w:t>.</w:t>
      </w:r>
    </w:p>
  </w:footnote>
  <w:footnote w:id="8">
    <w:p w:rsidR="00F7633A" w:rsidRPr="005F6C49" w:rsidRDefault="00F7633A">
      <w:pPr>
        <w:pStyle w:val="FootnoteText"/>
        <w:rPr>
          <w:lang w:val="en-GB"/>
        </w:rPr>
      </w:pPr>
      <w:r>
        <w:rPr>
          <w:rStyle w:val="FootnoteReference"/>
        </w:rPr>
        <w:footnoteRef/>
      </w:r>
      <w:r>
        <w:t xml:space="preserve"> </w:t>
      </w:r>
      <w:r>
        <w:rPr>
          <w:lang w:val="en-GB"/>
        </w:rPr>
        <w:tab/>
        <w:t xml:space="preserve">Available at </w:t>
      </w:r>
      <w:hyperlink r:id="rId2" w:history="1">
        <w:r w:rsidR="007904DA" w:rsidRPr="00FD5330">
          <w:rPr>
            <w:rStyle w:val="Hyperlink"/>
            <w:lang w:val="en-GB"/>
          </w:rPr>
          <w:t>https://circabc.europa.eu/w/browse/c309ae58-bdd7-421d-a678-8d8ac361d4e0</w:t>
        </w:r>
      </w:hyperlink>
      <w:r w:rsidR="007904DA">
        <w:rPr>
          <w:lang w:val="en-GB"/>
        </w:rPr>
        <w:t xml:space="preserve"> </w:t>
      </w:r>
    </w:p>
  </w:footnote>
  <w:footnote w:id="9">
    <w:p w:rsidR="0074247D" w:rsidRPr="008B3C9E" w:rsidRDefault="0074247D" w:rsidP="002E5F37">
      <w:pPr>
        <w:pStyle w:val="FootnoteText"/>
        <w:spacing w:before="120" w:after="0"/>
        <w:rPr>
          <w:lang w:val="en-GB"/>
        </w:rPr>
      </w:pPr>
      <w:r w:rsidRPr="008B3C9E">
        <w:rPr>
          <w:rStyle w:val="FootnoteReference"/>
          <w:lang w:val="en-GB"/>
        </w:rPr>
        <w:footnoteRef/>
      </w:r>
      <w:r w:rsidRPr="008B3C9E">
        <w:rPr>
          <w:lang w:val="en-GB"/>
        </w:rPr>
        <w:t xml:space="preserve"> </w:t>
      </w:r>
      <w:r w:rsidRPr="008B3C9E">
        <w:rPr>
          <w:lang w:val="en-GB"/>
        </w:rPr>
        <w:tab/>
        <w:t xml:space="preserve">The process to determine whether active substances already approved </w:t>
      </w:r>
      <w:r w:rsidR="00152963">
        <w:rPr>
          <w:lang w:val="en-GB"/>
        </w:rPr>
        <w:t xml:space="preserve">active </w:t>
      </w:r>
      <w:r w:rsidR="00152963" w:rsidRPr="00152963">
        <w:rPr>
          <w:lang w:val="en-GB"/>
        </w:rPr>
        <w:t xml:space="preserve">substances </w:t>
      </w:r>
      <w:r w:rsidR="005660A8" w:rsidRPr="00152963">
        <w:rPr>
          <w:lang w:val="en-GB"/>
        </w:rPr>
        <w:t>ha</w:t>
      </w:r>
      <w:r w:rsidR="007F771C" w:rsidRPr="00152963">
        <w:rPr>
          <w:lang w:val="en-GB"/>
        </w:rPr>
        <w:t>ve</w:t>
      </w:r>
      <w:r w:rsidR="005660A8" w:rsidRPr="00152963">
        <w:rPr>
          <w:lang w:val="en-GB"/>
        </w:rPr>
        <w:t xml:space="preserve"> </w:t>
      </w:r>
      <w:r w:rsidRPr="00152963">
        <w:rPr>
          <w:lang w:val="en-GB"/>
        </w:rPr>
        <w:t>ED</w:t>
      </w:r>
      <w:r w:rsidRPr="008B3C9E">
        <w:rPr>
          <w:lang w:val="en-GB"/>
        </w:rPr>
        <w:t xml:space="preserve"> properties will be discussed with MSs</w:t>
      </w:r>
      <w:r>
        <w:rPr>
          <w:lang w:val="en-GB"/>
        </w:rPr>
        <w:t xml:space="preserve"> based on a specific document</w:t>
      </w:r>
      <w:r w:rsidRPr="008B3C9E">
        <w:rPr>
          <w:lang w:val="en-GB"/>
        </w:rPr>
        <w:t xml:space="preserve"> in </w:t>
      </w:r>
      <w:r>
        <w:rPr>
          <w:lang w:val="en-GB"/>
        </w:rPr>
        <w:t xml:space="preserve">a </w:t>
      </w:r>
      <w:r w:rsidRPr="008B3C9E">
        <w:rPr>
          <w:lang w:val="en-GB"/>
        </w:rPr>
        <w:t>CA</w:t>
      </w:r>
      <w:r>
        <w:rPr>
          <w:lang w:val="en-GB"/>
        </w:rPr>
        <w:t xml:space="preserve"> </w:t>
      </w:r>
      <w:r w:rsidRPr="008B3C9E">
        <w:rPr>
          <w:lang w:val="en-GB"/>
        </w:rPr>
        <w:t xml:space="preserve">meeting. ECHA is already preparing itself for the new task of verifying whether </w:t>
      </w:r>
      <w:r>
        <w:rPr>
          <w:lang w:val="en-GB"/>
        </w:rPr>
        <w:t xml:space="preserve">there are </w:t>
      </w:r>
      <w:r w:rsidRPr="008B3C9E">
        <w:rPr>
          <w:lang w:val="en-GB"/>
        </w:rPr>
        <w:t xml:space="preserve">indications </w:t>
      </w:r>
      <w:r>
        <w:rPr>
          <w:lang w:val="en-GB"/>
        </w:rPr>
        <w:t>of</w:t>
      </w:r>
      <w:r w:rsidRPr="008B3C9E">
        <w:rPr>
          <w:lang w:val="en-GB"/>
        </w:rPr>
        <w:t xml:space="preserve"> ED properties </w:t>
      </w:r>
      <w:r>
        <w:rPr>
          <w:lang w:val="en-GB"/>
        </w:rPr>
        <w:t xml:space="preserve">in </w:t>
      </w:r>
      <w:r w:rsidRPr="008B3C9E">
        <w:rPr>
          <w:lang w:val="en-GB"/>
        </w:rPr>
        <w:t>active substances</w:t>
      </w:r>
      <w:r>
        <w:rPr>
          <w:lang w:val="en-GB"/>
        </w:rPr>
        <w:t xml:space="preserve"> </w:t>
      </w:r>
      <w:r w:rsidRPr="008B3C9E">
        <w:rPr>
          <w:lang w:val="en-GB"/>
        </w:rPr>
        <w:t>already approved.</w:t>
      </w:r>
    </w:p>
  </w:footnote>
  <w:footnote w:id="10">
    <w:p w:rsidR="0074247D" w:rsidRPr="008B3C9E" w:rsidRDefault="0074247D" w:rsidP="00440318">
      <w:pPr>
        <w:pStyle w:val="FootnoteText"/>
        <w:spacing w:before="120" w:after="0"/>
        <w:rPr>
          <w:lang w:val="en-GB"/>
        </w:rPr>
      </w:pPr>
      <w:r w:rsidRPr="008B3C9E">
        <w:rPr>
          <w:rStyle w:val="FootnoteReference"/>
          <w:lang w:val="en-GB"/>
        </w:rPr>
        <w:footnoteRef/>
      </w:r>
      <w:r w:rsidRPr="008B3C9E">
        <w:rPr>
          <w:lang w:val="en-GB"/>
        </w:rPr>
        <w:t xml:space="preserve"> </w:t>
      </w:r>
      <w:r w:rsidRPr="008B3C9E">
        <w:rPr>
          <w:lang w:val="en-GB"/>
        </w:rPr>
        <w:tab/>
        <w:t xml:space="preserve">Available at </w:t>
      </w:r>
      <w:hyperlink r:id="rId3" w:history="1">
        <w:r w:rsidRPr="008B3C9E">
          <w:rPr>
            <w:rStyle w:val="Hyperlink"/>
            <w:lang w:val="en-GB"/>
          </w:rPr>
          <w:t>https://circabc.europa.eu/w/browse/e379dc27-a2cc-46c2-8fbb-46c89d84b73d</w:t>
        </w:r>
      </w:hyperlink>
      <w:r>
        <w:rPr>
          <w:lang w:val="en-GB"/>
        </w:rPr>
        <w:t>.</w:t>
      </w:r>
    </w:p>
  </w:footnote>
  <w:footnote w:id="11">
    <w:p w:rsidR="0074247D" w:rsidRPr="008B3C9E" w:rsidRDefault="0074247D" w:rsidP="0062765D">
      <w:pPr>
        <w:pStyle w:val="FootnoteText"/>
        <w:spacing w:before="120" w:after="0"/>
        <w:rPr>
          <w:lang w:val="en-GB"/>
        </w:rPr>
      </w:pPr>
      <w:r w:rsidRPr="008B3C9E">
        <w:rPr>
          <w:rStyle w:val="FootnoteReference"/>
          <w:lang w:val="en-GB"/>
        </w:rPr>
        <w:footnoteRef/>
      </w:r>
      <w:r w:rsidRPr="008B3C9E">
        <w:rPr>
          <w:lang w:val="en-GB"/>
        </w:rPr>
        <w:t xml:space="preserve"> </w:t>
      </w:r>
      <w:r w:rsidRPr="008B3C9E">
        <w:rPr>
          <w:lang w:val="en-GB"/>
        </w:rPr>
        <w:tab/>
        <w:t>If an active substance is considered to have endocrine</w:t>
      </w:r>
      <w:r>
        <w:rPr>
          <w:lang w:val="en-GB"/>
        </w:rPr>
        <w:t>-</w:t>
      </w:r>
      <w:r w:rsidRPr="008B3C9E">
        <w:rPr>
          <w:lang w:val="en-GB"/>
        </w:rPr>
        <w:t xml:space="preserve">disrupting properties based only on section B of the </w:t>
      </w:r>
      <w:r w:rsidR="0049538F">
        <w:rPr>
          <w:lang w:val="en-GB"/>
        </w:rPr>
        <w:t>Regulation (EU) 2017/2100</w:t>
      </w:r>
      <w:r w:rsidRPr="008B3C9E">
        <w:rPr>
          <w:lang w:val="en-GB"/>
        </w:rPr>
        <w:t xml:space="preserve"> on setting scientific criteria, the active substance is not subject to exclusion, but it </w:t>
      </w:r>
      <w:r>
        <w:rPr>
          <w:lang w:val="en-GB"/>
        </w:rPr>
        <w:t>must</w:t>
      </w:r>
      <w:r w:rsidRPr="008B3C9E">
        <w:rPr>
          <w:lang w:val="en-GB"/>
        </w:rPr>
        <w:t xml:space="preserve"> be considered a candidate for substitution under Article 10(1)(e) and a substance of concern.</w:t>
      </w:r>
      <w:r w:rsidRPr="008B3C9E" w:rsidDel="008B3C9E">
        <w:rPr>
          <w:lang w:val="en-GB"/>
        </w:rPr>
        <w:t xml:space="preserve"> </w:t>
      </w:r>
    </w:p>
  </w:footnote>
  <w:footnote w:id="12">
    <w:p w:rsidR="00D11982" w:rsidRPr="005C2129" w:rsidRDefault="00D11982">
      <w:pPr>
        <w:pStyle w:val="FootnoteText"/>
        <w:rPr>
          <w:lang w:val="en-GB"/>
        </w:rPr>
      </w:pPr>
      <w:r>
        <w:rPr>
          <w:rStyle w:val="FootnoteReference"/>
        </w:rPr>
        <w:footnoteRef/>
      </w:r>
      <w:r>
        <w:t xml:space="preserve"> </w:t>
      </w:r>
      <w:r w:rsidR="008C4050" w:rsidRPr="005C2129">
        <w:rPr>
          <w:lang w:val="en-GB"/>
        </w:rPr>
        <w:tab/>
      </w:r>
      <w:r>
        <w:rPr>
          <w:lang w:val="en-GB"/>
        </w:rPr>
        <w:t>It will analysed whether also non-authorities can have access to this information.</w:t>
      </w:r>
    </w:p>
  </w:footnote>
  <w:footnote w:id="13">
    <w:p w:rsidR="00424CC2" w:rsidRPr="005F6C49" w:rsidRDefault="00424CC2">
      <w:pPr>
        <w:pStyle w:val="FootnoteText"/>
        <w:rPr>
          <w:lang w:val="en-GB"/>
        </w:rPr>
      </w:pPr>
      <w:r>
        <w:rPr>
          <w:rStyle w:val="FootnoteReference"/>
        </w:rPr>
        <w:footnoteRef/>
      </w:r>
      <w:r>
        <w:t xml:space="preserve"> </w:t>
      </w:r>
      <w:r>
        <w:rPr>
          <w:lang w:val="en-GB"/>
        </w:rPr>
        <w:tab/>
        <w:t xml:space="preserve">See also document </w:t>
      </w:r>
      <w:r w:rsidRPr="00424CC2">
        <w:rPr>
          <w:lang w:val="en-GB"/>
        </w:rPr>
        <w:t xml:space="preserve">CA-July17-Doc.4.2 - Final </w:t>
      </w:r>
      <w:r>
        <w:rPr>
          <w:lang w:val="en-GB"/>
        </w:rPr>
        <w:t>(</w:t>
      </w:r>
      <w:r w:rsidRPr="00424CC2">
        <w:rPr>
          <w:lang w:val="en-GB"/>
        </w:rPr>
        <w:t>Handling the stop of the clock</w:t>
      </w:r>
      <w:r>
        <w:rPr>
          <w:lang w:val="en-GB"/>
        </w:rPr>
        <w:t xml:space="preserve">), available at </w:t>
      </w:r>
      <w:hyperlink r:id="rId4" w:history="1">
        <w:r w:rsidRPr="00C262F8">
          <w:rPr>
            <w:rStyle w:val="Hyperlink"/>
            <w:lang w:val="en-GB"/>
          </w:rPr>
          <w:t>https://circabc.europa.eu/w/browse/158919d8-516a-4f5d-b458-f9a03e651789</w:t>
        </w:r>
      </w:hyperlink>
    </w:p>
  </w:footnote>
  <w:footnote w:id="14">
    <w:p w:rsidR="00880133" w:rsidRPr="00596661" w:rsidRDefault="00880133">
      <w:pPr>
        <w:pStyle w:val="FootnoteText"/>
        <w:rPr>
          <w:lang w:val="en-GB"/>
        </w:rPr>
      </w:pPr>
      <w:r>
        <w:rPr>
          <w:rStyle w:val="FootnoteReference"/>
        </w:rPr>
        <w:footnoteRef/>
      </w:r>
      <w:r>
        <w:t xml:space="preserve"> </w:t>
      </w:r>
      <w:r w:rsidR="00C262F8">
        <w:rPr>
          <w:lang w:val="en-GB"/>
        </w:rPr>
        <w:tab/>
      </w:r>
      <w:r w:rsidRPr="00596661">
        <w:rPr>
          <w:lang w:val="en-GB"/>
        </w:rPr>
        <w:t xml:space="preserve">The applicant is the prospective authorisation holder or acts on behalf of the prospective authorisation holder. It is clear that the applicant may not be the supplier of the non-active substance.  In such case the applicant has to explore with the supplier the possibilities to provide the required information </w:t>
      </w:r>
      <w:r w:rsidR="00AE5E1B" w:rsidRPr="00596661">
        <w:rPr>
          <w:lang w:val="en-GB"/>
        </w:rPr>
        <w:t>w</w:t>
      </w:r>
      <w:r w:rsidRPr="00596661">
        <w:rPr>
          <w:lang w:val="en-GB"/>
        </w:rPr>
        <w:t>hich should be consid</w:t>
      </w:r>
      <w:r w:rsidR="00AE5E1B" w:rsidRPr="00596661">
        <w:rPr>
          <w:lang w:val="en-GB"/>
        </w:rPr>
        <w:t>ered in setting the time line.</w:t>
      </w:r>
    </w:p>
  </w:footnote>
  <w:footnote w:id="15">
    <w:p w:rsidR="0074247D" w:rsidRPr="008B3C9E" w:rsidRDefault="0074247D" w:rsidP="007A4D90">
      <w:pPr>
        <w:pStyle w:val="FootnoteText"/>
        <w:spacing w:before="120" w:after="120"/>
        <w:ind w:left="284" w:hanging="284"/>
        <w:rPr>
          <w:lang w:val="en-GB"/>
        </w:rPr>
      </w:pPr>
      <w:r w:rsidRPr="008B3C9E">
        <w:rPr>
          <w:rStyle w:val="FootnoteReference"/>
          <w:lang w:val="en-GB"/>
        </w:rPr>
        <w:footnoteRef/>
      </w:r>
      <w:r w:rsidRPr="008B3C9E">
        <w:rPr>
          <w:lang w:val="en-GB"/>
        </w:rPr>
        <w:t xml:space="preserve"> </w:t>
      </w:r>
      <w:r w:rsidRPr="008B3C9E">
        <w:rPr>
          <w:lang w:val="en-GB"/>
        </w:rPr>
        <w:tab/>
        <w:t xml:space="preserve">Always within the </w:t>
      </w:r>
      <w:r w:rsidR="00830DBD">
        <w:rPr>
          <w:lang w:val="en-GB"/>
        </w:rPr>
        <w:t xml:space="preserve">time </w:t>
      </w:r>
      <w:r w:rsidRPr="008B3C9E">
        <w:rPr>
          <w:lang w:val="en-GB"/>
        </w:rPr>
        <w:t xml:space="preserve">boundaries referred to in </w:t>
      </w:r>
      <w:r w:rsidRPr="001D55B0">
        <w:rPr>
          <w:lang w:val="en-GB"/>
        </w:rPr>
        <w:t xml:space="preserve">paragraph </w:t>
      </w:r>
      <w:r w:rsidR="0065606B">
        <w:rPr>
          <w:lang w:val="en-GB"/>
        </w:rPr>
        <w:t>6</w:t>
      </w:r>
      <w:r w:rsidR="0065606B" w:rsidRPr="001D55B0">
        <w:rPr>
          <w:lang w:val="en-GB"/>
        </w:rPr>
        <w:t xml:space="preserve"> </w:t>
      </w:r>
      <w:r w:rsidRPr="001D55B0">
        <w:rPr>
          <w:lang w:val="en-GB"/>
        </w:rPr>
        <w:t>above.</w:t>
      </w:r>
    </w:p>
  </w:footnote>
  <w:footnote w:id="16">
    <w:p w:rsidR="0074247D" w:rsidRPr="008B3C9E" w:rsidRDefault="0074247D" w:rsidP="007A4D90">
      <w:pPr>
        <w:pStyle w:val="FootnoteText"/>
        <w:spacing w:before="120" w:after="120"/>
        <w:ind w:left="284" w:hanging="284"/>
        <w:rPr>
          <w:lang w:val="en-GB"/>
        </w:rPr>
      </w:pPr>
      <w:r w:rsidRPr="008B3C9E">
        <w:rPr>
          <w:rStyle w:val="FootnoteReference"/>
          <w:lang w:val="en-GB"/>
        </w:rPr>
        <w:footnoteRef/>
      </w:r>
      <w:r w:rsidRPr="008B3C9E">
        <w:rPr>
          <w:lang w:val="en-GB"/>
        </w:rPr>
        <w:t xml:space="preserve"> </w:t>
      </w:r>
      <w:r w:rsidRPr="008B3C9E">
        <w:rPr>
          <w:lang w:val="en-GB"/>
        </w:rPr>
        <w:tab/>
        <w:t xml:space="preserve">E.g. where a </w:t>
      </w:r>
      <w:r w:rsidR="0062715E">
        <w:rPr>
          <w:lang w:val="en-GB"/>
        </w:rPr>
        <w:t>substance of concern</w:t>
      </w:r>
      <w:r w:rsidRPr="008B3C9E">
        <w:rPr>
          <w:lang w:val="en-GB"/>
        </w:rPr>
        <w:t xml:space="preserve"> might only pose a risk for the human health, submitting the data package on the risks for </w:t>
      </w:r>
      <w:r>
        <w:rPr>
          <w:lang w:val="en-GB"/>
        </w:rPr>
        <w:t xml:space="preserve">the </w:t>
      </w:r>
      <w:r w:rsidRPr="008B3C9E">
        <w:rPr>
          <w:lang w:val="en-GB"/>
        </w:rPr>
        <w:t>environment would be irrelevant.</w:t>
      </w:r>
    </w:p>
  </w:footnote>
  <w:footnote w:id="17">
    <w:p w:rsidR="00B34124" w:rsidRPr="00B34124" w:rsidRDefault="00B34124" w:rsidP="007A4D90">
      <w:pPr>
        <w:pStyle w:val="Header"/>
        <w:spacing w:after="120"/>
        <w:ind w:left="284" w:hanging="284"/>
      </w:pPr>
      <w:r w:rsidRPr="007A4D90">
        <w:rPr>
          <w:rStyle w:val="FootnoteReference"/>
          <w:sz w:val="20"/>
        </w:rPr>
        <w:footnoteRef/>
      </w:r>
      <w:r w:rsidRPr="007A4D90">
        <w:rPr>
          <w:sz w:val="20"/>
        </w:rPr>
        <w:t xml:space="preserve"> </w:t>
      </w:r>
      <w:r w:rsidRPr="00D4491A">
        <w:t xml:space="preserve"> </w:t>
      </w:r>
      <w:r w:rsidR="007A4D90">
        <w:tab/>
      </w:r>
      <w:r w:rsidR="007A4D90">
        <w:tab/>
      </w:r>
      <w:r w:rsidRPr="00D4491A">
        <w:rPr>
          <w:sz w:val="20"/>
        </w:rPr>
        <w:t>See CA-March16-Doc.4.15 – Final 'consideration of cut-off dates for the implementation of paragraph 8(a) of Annex VI to the BPR'.</w:t>
      </w:r>
      <w:r>
        <w:t xml:space="preserve"> </w:t>
      </w:r>
    </w:p>
  </w:footnote>
  <w:footnote w:id="18">
    <w:p w:rsidR="00933194" w:rsidRPr="00933194" w:rsidRDefault="00933194">
      <w:pPr>
        <w:pStyle w:val="FootnoteText"/>
      </w:pPr>
      <w:r>
        <w:rPr>
          <w:rStyle w:val="FootnoteReference"/>
        </w:rPr>
        <w:footnoteRef/>
      </w:r>
      <w:r>
        <w:t xml:space="preserve"> </w:t>
      </w:r>
      <w:r w:rsidR="00E0241D" w:rsidRPr="00E0241D">
        <w:rPr>
          <w:lang w:val="en-GB"/>
        </w:rPr>
        <w:t xml:space="preserve"> </w:t>
      </w:r>
      <w:r w:rsidR="00E0241D">
        <w:rPr>
          <w:lang w:val="en-GB"/>
        </w:rPr>
        <w:tab/>
      </w:r>
      <w:r w:rsidRPr="00AC677B">
        <w:rPr>
          <w:lang w:val="en-GB"/>
        </w:rPr>
        <w:t>The evaluating body may</w:t>
      </w:r>
      <w:r>
        <w:rPr>
          <w:lang w:val="en-GB"/>
        </w:rPr>
        <w:t xml:space="preserve"> </w:t>
      </w:r>
      <w:r>
        <w:t>continue with the assessment of the intended uses for which sufficient information is available in order to conclude whether the product authorisation can be granted</w:t>
      </w:r>
      <w:r w:rsidRPr="00AC677B">
        <w:rPr>
          <w:lang w:val="en-GB"/>
        </w:rPr>
        <w:t xml:space="preserve"> (for example, </w:t>
      </w:r>
      <w:r w:rsidR="00E0241D">
        <w:rPr>
          <w:lang w:val="en-GB"/>
        </w:rPr>
        <w:t>a non-active substance may only affect some of the individual products o</w:t>
      </w:r>
      <w:r w:rsidR="006604BD">
        <w:rPr>
          <w:lang w:val="en-GB"/>
        </w:rPr>
        <w:t xml:space="preserve">f </w:t>
      </w:r>
      <w:r w:rsidR="00E0241D">
        <w:rPr>
          <w:lang w:val="en-GB"/>
        </w:rPr>
        <w:t>a family</w:t>
      </w:r>
      <w:r w:rsidRPr="00AC677B">
        <w:rPr>
          <w:lang w:val="en-GB"/>
        </w:rPr>
        <w:t>)</w:t>
      </w:r>
      <w:r>
        <w:t>.</w:t>
      </w:r>
    </w:p>
  </w:footnote>
  <w:footnote w:id="19">
    <w:p w:rsidR="0074247D" w:rsidRPr="001507EE" w:rsidRDefault="0074247D" w:rsidP="007A4D90">
      <w:pPr>
        <w:pStyle w:val="FootnoteText"/>
        <w:ind w:left="284" w:hanging="284"/>
        <w:rPr>
          <w:lang w:val="en-GB"/>
        </w:rPr>
      </w:pPr>
      <w:r>
        <w:rPr>
          <w:rStyle w:val="FootnoteReference"/>
        </w:rPr>
        <w:footnoteRef/>
      </w:r>
      <w:r>
        <w:t xml:space="preserve"> </w:t>
      </w:r>
      <w:r w:rsidR="00C262F8">
        <w:rPr>
          <w:lang w:val="en-GB"/>
        </w:rPr>
        <w:tab/>
      </w:r>
      <w:r>
        <w:rPr>
          <w:lang w:val="en-GB"/>
        </w:rPr>
        <w:t>Co-formulants are used in many other non-biocidal products and processes. Case T-115/15 Deza v ECHA points out that the setting of scientific criteria in accordance with Article 5 of the BPR does not impact the case-by-case approach to identify EDs in accordance with Article 57(f) of Regulation (EC)  No 1907/2006.</w:t>
      </w:r>
    </w:p>
  </w:footnote>
  <w:footnote w:id="20">
    <w:p w:rsidR="00EB2E01" w:rsidRPr="00D4491A" w:rsidRDefault="00EB2E01">
      <w:pPr>
        <w:pStyle w:val="FootnoteText"/>
        <w:rPr>
          <w:lang w:val="en-GB"/>
        </w:rPr>
      </w:pPr>
      <w:r>
        <w:rPr>
          <w:rStyle w:val="FootnoteReference"/>
        </w:rPr>
        <w:footnoteRef/>
      </w:r>
      <w:r>
        <w:t xml:space="preserve"> </w:t>
      </w:r>
      <w:r w:rsidR="007A4D90">
        <w:rPr>
          <w:lang w:val="en-GB"/>
        </w:rPr>
        <w:tab/>
      </w:r>
      <w:r w:rsidR="00D429F8">
        <w:rPr>
          <w:lang w:val="en-GB"/>
        </w:rPr>
        <w:t>To</w:t>
      </w:r>
      <w:r w:rsidR="00D429F8" w:rsidRPr="00D4491A">
        <w:rPr>
          <w:lang w:val="en-GB"/>
        </w:rPr>
        <w:t xml:space="preserve"> </w:t>
      </w:r>
      <w:r w:rsidRPr="00D4491A">
        <w:rPr>
          <w:lang w:val="en-GB"/>
        </w:rPr>
        <w:t>ensur</w:t>
      </w:r>
      <w:r w:rsidR="00D429F8">
        <w:rPr>
          <w:lang w:val="en-GB"/>
        </w:rPr>
        <w:t>e</w:t>
      </w:r>
      <w:r w:rsidRPr="00D4491A">
        <w:rPr>
          <w:lang w:val="en-GB"/>
        </w:rPr>
        <w:t xml:space="preserve"> consistency and avoid duplication of work it is recommended that the</w:t>
      </w:r>
      <w:r>
        <w:t xml:space="preserve"> results of this </w:t>
      </w:r>
      <w:r w:rsidRPr="00D4491A">
        <w:rPr>
          <w:lang w:val="en-GB"/>
        </w:rPr>
        <w:t xml:space="preserve">REACH </w:t>
      </w:r>
      <w:r>
        <w:t xml:space="preserve">procedure </w:t>
      </w:r>
      <w:r w:rsidRPr="00D4491A">
        <w:rPr>
          <w:lang w:val="en-GB"/>
        </w:rPr>
        <w:t xml:space="preserve">will be used </w:t>
      </w:r>
      <w:r>
        <w:t>for concluding on the ED properties of the non-active substance</w:t>
      </w:r>
      <w:r w:rsidRPr="00D4491A">
        <w:rPr>
          <w:lang w:val="en-GB"/>
        </w:rPr>
        <w:t xml:space="preserve"> and no additional procedure will be initiated under the BPR to determine whether the non-active substance may have ED properties</w:t>
      </w:r>
      <w:r w:rsidR="00D62E67">
        <w:rPr>
          <w:lang w:val="en-GB"/>
        </w:rPr>
        <w:t xml:space="preserve">, unless the REACH process concluded that the non-active substance is not an ED only because of the inability </w:t>
      </w:r>
      <w:r w:rsidR="007A3B6E">
        <w:rPr>
          <w:lang w:val="en-GB"/>
        </w:rPr>
        <w:t xml:space="preserve">to prove </w:t>
      </w:r>
      <w:r w:rsidR="00D62E67">
        <w:rPr>
          <w:lang w:val="en-GB"/>
        </w:rPr>
        <w:t>the equivalent level of concern</w:t>
      </w:r>
      <w:r w:rsidR="007A3B6E">
        <w:rPr>
          <w:lang w:val="en-GB"/>
        </w:rPr>
        <w:t xml:space="preserve"> to CMRs, PBTs and vPvBs.</w:t>
      </w:r>
      <w:r w:rsidR="00D62E67">
        <w:rPr>
          <w:lang w:val="en-GB"/>
        </w:rPr>
        <w:t>.</w:t>
      </w:r>
    </w:p>
  </w:footnote>
  <w:footnote w:id="21">
    <w:p w:rsidR="00224FBC" w:rsidRPr="00D4491A" w:rsidRDefault="00224FBC">
      <w:pPr>
        <w:pStyle w:val="FootnoteText"/>
        <w:rPr>
          <w:lang w:val="en-GB"/>
        </w:rPr>
      </w:pPr>
      <w:r>
        <w:rPr>
          <w:rStyle w:val="FootnoteReference"/>
        </w:rPr>
        <w:footnoteRef/>
      </w:r>
      <w:r>
        <w:t xml:space="preserve"> </w:t>
      </w:r>
      <w:r w:rsidR="00FD6BD9">
        <w:rPr>
          <w:lang w:val="en-GB"/>
        </w:rPr>
        <w:tab/>
      </w:r>
      <w:r w:rsidRPr="00D4491A">
        <w:rPr>
          <w:lang w:val="en-GB"/>
        </w:rPr>
        <w:t>In this REACH procedure the determination of ED pro</w:t>
      </w:r>
      <w:r w:rsidRPr="00224FBC">
        <w:rPr>
          <w:lang w:val="en-GB"/>
        </w:rPr>
        <w:t>perties occur</w:t>
      </w:r>
      <w:r>
        <w:rPr>
          <w:lang w:val="en-GB"/>
        </w:rPr>
        <w:t xml:space="preserve">s </w:t>
      </w:r>
      <w:r w:rsidRPr="00D4491A">
        <w:rPr>
          <w:lang w:val="en-GB"/>
        </w:rPr>
        <w:t xml:space="preserve">according the </w:t>
      </w:r>
      <w:r>
        <w:rPr>
          <w:lang w:val="en-GB"/>
        </w:rPr>
        <w:t>relevant REACH</w:t>
      </w:r>
      <w:r w:rsidRPr="00D4491A">
        <w:rPr>
          <w:lang w:val="en-GB"/>
        </w:rPr>
        <w:t xml:space="preserve"> </w:t>
      </w:r>
      <w:r w:rsidRPr="00100791">
        <w:rPr>
          <w:lang w:val="en-GB"/>
        </w:rPr>
        <w:t>guidance</w:t>
      </w:r>
      <w:r w:rsidR="00100791" w:rsidRPr="00100791">
        <w:rPr>
          <w:lang w:val="en-GB"/>
        </w:rPr>
        <w:t xml:space="preserve"> and </w:t>
      </w:r>
      <w:r w:rsidR="0025592E">
        <w:rPr>
          <w:lang w:val="en-GB"/>
        </w:rPr>
        <w:t xml:space="preserve">REACH </w:t>
      </w:r>
      <w:r w:rsidR="00100791" w:rsidRPr="00100791">
        <w:rPr>
          <w:lang w:val="en-GB"/>
        </w:rPr>
        <w:t>practices</w:t>
      </w:r>
      <w:r w:rsidR="0025592E">
        <w:rPr>
          <w:lang w:val="en-GB"/>
        </w:rPr>
        <w:t xml:space="preserve"> for determination of ED properties.</w:t>
      </w:r>
      <w:r w:rsidR="00AE5E1B">
        <w:rPr>
          <w:lang w:val="en-GB"/>
        </w:rPr>
        <w:t xml:space="preserve"> For this evaluation sufficient data should be available. If no sufficient data is available the data may be collected in the context of the BPR procedure </w:t>
      </w:r>
      <w:r w:rsidR="0017263E">
        <w:rPr>
          <w:lang w:val="en-GB"/>
        </w:rPr>
        <w:t>or by initiating a substance evaluation of the substance (Article</w:t>
      </w:r>
      <w:r w:rsidR="00715FBC">
        <w:rPr>
          <w:lang w:val="en-GB"/>
        </w:rPr>
        <w:t>s</w:t>
      </w:r>
      <w:r w:rsidR="0017263E">
        <w:rPr>
          <w:lang w:val="en-GB"/>
        </w:rPr>
        <w:t xml:space="preserve"> 44-48 of </w:t>
      </w:r>
      <w:r w:rsidR="007A4D90">
        <w:rPr>
          <w:lang w:val="en-GB"/>
        </w:rPr>
        <w:t>REACH</w:t>
      </w:r>
      <w:r w:rsidR="0017263E">
        <w:rPr>
          <w:lang w:val="en-GB"/>
        </w:rPr>
        <w:t>)</w:t>
      </w:r>
    </w:p>
  </w:footnote>
  <w:footnote w:id="22">
    <w:p w:rsidR="00592567" w:rsidRPr="00D4491A" w:rsidRDefault="00592567">
      <w:pPr>
        <w:pStyle w:val="FootnoteText"/>
        <w:rPr>
          <w:lang w:val="en-GB"/>
        </w:rPr>
      </w:pPr>
      <w:r>
        <w:rPr>
          <w:rStyle w:val="FootnoteReference"/>
        </w:rPr>
        <w:footnoteRef/>
      </w:r>
      <w:r>
        <w:t xml:space="preserve"> </w:t>
      </w:r>
      <w:r w:rsidR="00FD6BD9">
        <w:rPr>
          <w:lang w:val="en-GB"/>
        </w:rPr>
        <w:tab/>
      </w:r>
      <w:r w:rsidRPr="00D4491A">
        <w:rPr>
          <w:lang w:val="en-GB"/>
        </w:rPr>
        <w:t xml:space="preserve">It is underlined that it </w:t>
      </w:r>
      <w:r w:rsidR="006E4861">
        <w:rPr>
          <w:lang w:val="en-GB"/>
        </w:rPr>
        <w:t xml:space="preserve">is </w:t>
      </w:r>
      <w:r w:rsidRPr="00D4491A">
        <w:rPr>
          <w:lang w:val="en-GB"/>
        </w:rPr>
        <w:t xml:space="preserve">the </w:t>
      </w:r>
      <w:r w:rsidR="006E4861">
        <w:rPr>
          <w:lang w:val="en-GB"/>
        </w:rPr>
        <w:t>competence</w:t>
      </w:r>
      <w:r w:rsidRPr="00D4491A">
        <w:rPr>
          <w:lang w:val="en-GB"/>
        </w:rPr>
        <w:t xml:space="preserve"> of the evaluation body </w:t>
      </w:r>
      <w:r>
        <w:rPr>
          <w:lang w:val="en-GB"/>
        </w:rPr>
        <w:t xml:space="preserve">to select the appropriate procedure to determine ED properties of a </w:t>
      </w:r>
      <w:r w:rsidR="00FD6BD9">
        <w:rPr>
          <w:lang w:val="en-GB"/>
        </w:rPr>
        <w:t xml:space="preserve">non-active </w:t>
      </w:r>
      <w:r>
        <w:rPr>
          <w:lang w:val="en-GB"/>
        </w:rPr>
        <w:t>substance.</w:t>
      </w:r>
      <w:r w:rsidR="00135E9A">
        <w:rPr>
          <w:lang w:val="en-GB"/>
        </w:rPr>
        <w:t xml:space="preserve"> </w:t>
      </w:r>
      <w:r w:rsidR="00100791">
        <w:rPr>
          <w:lang w:val="en-GB"/>
        </w:rPr>
        <w:t xml:space="preserve">The evaluation body should </w:t>
      </w:r>
      <w:r w:rsidR="00135E9A">
        <w:rPr>
          <w:lang w:val="en-GB"/>
        </w:rPr>
        <w:t xml:space="preserve">note that </w:t>
      </w:r>
      <w:r w:rsidR="00100791">
        <w:rPr>
          <w:lang w:val="en-GB"/>
        </w:rPr>
        <w:t xml:space="preserve">identification of a substance </w:t>
      </w:r>
      <w:r w:rsidR="00BE71C2">
        <w:rPr>
          <w:lang w:val="en-GB"/>
        </w:rPr>
        <w:t xml:space="preserve">to be included in </w:t>
      </w:r>
      <w:r w:rsidR="00BE71C2" w:rsidRPr="00152963">
        <w:rPr>
          <w:lang w:val="en-GB"/>
        </w:rPr>
        <w:t xml:space="preserve">Annex </w:t>
      </w:r>
      <w:r w:rsidR="00F25D45" w:rsidRPr="00152963">
        <w:rPr>
          <w:lang w:val="en-GB"/>
        </w:rPr>
        <w:t>X</w:t>
      </w:r>
      <w:r w:rsidR="00BE71C2" w:rsidRPr="00152963">
        <w:rPr>
          <w:lang w:val="en-GB"/>
        </w:rPr>
        <w:t>IV of R</w:t>
      </w:r>
      <w:r w:rsidR="003F1BB3" w:rsidRPr="00152963">
        <w:rPr>
          <w:lang w:val="en-GB"/>
        </w:rPr>
        <w:t>EACH</w:t>
      </w:r>
      <w:r w:rsidR="00BE71C2">
        <w:rPr>
          <w:lang w:val="en-GB"/>
        </w:rPr>
        <w:t xml:space="preserve"> (substance of very high concern (</w:t>
      </w:r>
      <w:r w:rsidR="00100791">
        <w:rPr>
          <w:lang w:val="en-GB"/>
        </w:rPr>
        <w:t>SVHC</w:t>
      </w:r>
      <w:r w:rsidR="00BE71C2">
        <w:rPr>
          <w:lang w:val="en-GB"/>
        </w:rPr>
        <w:t>)</w:t>
      </w:r>
      <w:r w:rsidR="003F1BB3">
        <w:rPr>
          <w:lang w:val="en-GB"/>
        </w:rPr>
        <w:t>)</w:t>
      </w:r>
      <w:r w:rsidR="00100791">
        <w:rPr>
          <w:lang w:val="en-GB"/>
        </w:rPr>
        <w:t xml:space="preserve"> due to endocrine disrupting properties </w:t>
      </w:r>
      <w:r w:rsidR="008042C2">
        <w:rPr>
          <w:lang w:val="en-GB"/>
        </w:rPr>
        <w:t xml:space="preserve">under REACH </w:t>
      </w:r>
      <w:r w:rsidR="00100791">
        <w:rPr>
          <w:lang w:val="en-GB"/>
        </w:rPr>
        <w:t xml:space="preserve">includes assessment of </w:t>
      </w:r>
      <w:r w:rsidR="008042C2">
        <w:rPr>
          <w:lang w:val="en-GB"/>
        </w:rPr>
        <w:t xml:space="preserve">an </w:t>
      </w:r>
      <w:r w:rsidR="00100791">
        <w:rPr>
          <w:lang w:val="en-GB"/>
        </w:rPr>
        <w:t>equivalent level of concern to CMRs or PBTs</w:t>
      </w:r>
      <w:r w:rsidR="0025592E">
        <w:rPr>
          <w:lang w:val="en-GB"/>
        </w:rPr>
        <w:t xml:space="preserve"> or vPvBs</w:t>
      </w:r>
      <w:r w:rsidR="00100791">
        <w:rPr>
          <w:lang w:val="en-GB"/>
        </w:rPr>
        <w:t xml:space="preserve"> that is not requested under the biocidal product regulation. </w:t>
      </w:r>
    </w:p>
  </w:footnote>
  <w:footnote w:id="23">
    <w:p w:rsidR="0074247D" w:rsidRPr="001D55B0" w:rsidRDefault="0074247D">
      <w:pPr>
        <w:pStyle w:val="FootnoteText"/>
        <w:rPr>
          <w:lang w:val="en-GB"/>
        </w:rPr>
      </w:pPr>
      <w:r>
        <w:rPr>
          <w:rStyle w:val="FootnoteReference"/>
        </w:rPr>
        <w:footnoteRef/>
      </w:r>
      <w:r>
        <w:t xml:space="preserve"> </w:t>
      </w:r>
      <w:r w:rsidRPr="001D55B0">
        <w:rPr>
          <w:lang w:val="en-GB"/>
        </w:rPr>
        <w:t xml:space="preserve"> </w:t>
      </w:r>
      <w:r w:rsidR="00FD6BD9">
        <w:rPr>
          <w:lang w:val="en-GB"/>
        </w:rPr>
        <w:tab/>
      </w:r>
      <w:r w:rsidRPr="001D55B0">
        <w:rPr>
          <w:lang w:val="en-GB"/>
        </w:rPr>
        <w:t>A non-active substance could be already subject to a BPR</w:t>
      </w:r>
      <w:r w:rsidR="00F36704">
        <w:rPr>
          <w:lang w:val="en-GB"/>
        </w:rPr>
        <w:t xml:space="preserve"> </w:t>
      </w:r>
      <w:r w:rsidRPr="001D55B0">
        <w:rPr>
          <w:lang w:val="en-GB"/>
        </w:rPr>
        <w:t>p</w:t>
      </w:r>
      <w:r w:rsidR="00F137D2">
        <w:rPr>
          <w:lang w:val="en-GB"/>
        </w:rPr>
        <w:t>r</w:t>
      </w:r>
      <w:r w:rsidRPr="001D55B0">
        <w:rPr>
          <w:lang w:val="en-GB"/>
        </w:rPr>
        <w:t>ocedure to determine ED properties as the non-active substance was contained in another biocidal product and the competent authority triggered the BP</w:t>
      </w:r>
      <w:r w:rsidR="00D94330">
        <w:rPr>
          <w:lang w:val="en-GB"/>
        </w:rPr>
        <w:t>R</w:t>
      </w:r>
      <w:r w:rsidRPr="001D55B0">
        <w:rPr>
          <w:lang w:val="en-GB"/>
        </w:rPr>
        <w:t>-procedure to determine ED properties.</w:t>
      </w:r>
      <w:r w:rsidR="00F137D2">
        <w:rPr>
          <w:lang w:val="en-GB"/>
        </w:rPr>
        <w:t xml:space="preserve"> </w:t>
      </w:r>
      <w:r w:rsidR="00C36A1D">
        <w:rPr>
          <w:lang w:val="en-GB"/>
        </w:rPr>
        <w:t>T</w:t>
      </w:r>
      <w:r w:rsidR="00F137D2">
        <w:rPr>
          <w:lang w:val="en-GB"/>
        </w:rPr>
        <w:t>he Coordination Group Secretariat will keep a</w:t>
      </w:r>
      <w:r w:rsidR="00393D93">
        <w:rPr>
          <w:lang w:val="en-GB"/>
        </w:rPr>
        <w:t>n updated</w:t>
      </w:r>
      <w:r w:rsidR="00F137D2">
        <w:rPr>
          <w:lang w:val="en-GB"/>
        </w:rPr>
        <w:t xml:space="preserve"> list with on-going procedures triggered under the BPR so that this information is available to MSs.</w:t>
      </w:r>
    </w:p>
  </w:footnote>
  <w:footnote w:id="24">
    <w:p w:rsidR="00387D11" w:rsidRPr="00596661" w:rsidRDefault="00387D11" w:rsidP="00F36704">
      <w:pPr>
        <w:pStyle w:val="FootnoteText"/>
        <w:spacing w:after="120"/>
        <w:rPr>
          <w:lang w:val="en-GB"/>
        </w:rPr>
      </w:pPr>
      <w:r>
        <w:rPr>
          <w:rStyle w:val="FootnoteReference"/>
        </w:rPr>
        <w:footnoteRef/>
      </w:r>
      <w:r>
        <w:t xml:space="preserve"> </w:t>
      </w:r>
      <w:r w:rsidR="00F36704">
        <w:rPr>
          <w:lang w:val="en-GB"/>
        </w:rPr>
        <w:tab/>
      </w:r>
      <w:r w:rsidRPr="00596661">
        <w:rPr>
          <w:lang w:val="en-GB"/>
        </w:rPr>
        <w:t xml:space="preserve">See paragraph </w:t>
      </w:r>
      <w:r w:rsidRPr="00F36704">
        <w:rPr>
          <w:lang w:val="en-GB"/>
        </w:rPr>
        <w:t>6</w:t>
      </w:r>
      <w:r w:rsidRPr="00596661">
        <w:rPr>
          <w:lang w:val="en-GB"/>
        </w:rPr>
        <w:t xml:space="preserve"> of the relevant legal deadlines in the BPR for product authorisation.</w:t>
      </w:r>
    </w:p>
  </w:footnote>
  <w:footnote w:id="25">
    <w:p w:rsidR="00A05430" w:rsidRPr="008B3C9E" w:rsidRDefault="00A05430" w:rsidP="00F36704">
      <w:pPr>
        <w:pStyle w:val="CommentText"/>
        <w:spacing w:after="120"/>
        <w:rPr>
          <w:lang w:val="en-GB"/>
        </w:rPr>
      </w:pPr>
      <w:r w:rsidRPr="008B3C9E">
        <w:rPr>
          <w:rStyle w:val="FootnoteReference"/>
          <w:lang w:val="en-GB"/>
        </w:rPr>
        <w:footnoteRef/>
      </w:r>
      <w:r>
        <w:rPr>
          <w:lang w:val="en-GB"/>
        </w:rPr>
        <w:t xml:space="preserve">     Vol III Parts B+C (starting from page 322), available </w:t>
      </w:r>
      <w:hyperlink r:id="rId5" w:history="1">
        <w:r w:rsidRPr="008910D6">
          <w:rPr>
            <w:rStyle w:val="Hyperlink"/>
            <w:lang w:val="en-GB"/>
          </w:rPr>
          <w:t>here</w:t>
        </w:r>
      </w:hyperlink>
      <w:r>
        <w:rPr>
          <w:lang w:val="en-GB"/>
        </w:rPr>
        <w:t>.</w:t>
      </w:r>
    </w:p>
  </w:footnote>
  <w:footnote w:id="26">
    <w:p w:rsidR="00A05430" w:rsidRPr="008B3C9E" w:rsidRDefault="00A05430" w:rsidP="00A05430">
      <w:pPr>
        <w:pStyle w:val="FootnoteText"/>
        <w:spacing w:before="120" w:after="0"/>
        <w:rPr>
          <w:lang w:val="en-GB"/>
        </w:rPr>
      </w:pPr>
      <w:r w:rsidRPr="008B3C9E">
        <w:rPr>
          <w:rStyle w:val="FootnoteReference"/>
          <w:lang w:val="en-GB"/>
        </w:rPr>
        <w:footnoteRef/>
      </w:r>
      <w:r w:rsidRPr="008B3C9E">
        <w:rPr>
          <w:lang w:val="en-GB"/>
        </w:rPr>
        <w:t xml:space="preserve"> </w:t>
      </w:r>
      <w:r w:rsidRPr="008B3C9E">
        <w:rPr>
          <w:lang w:val="en-GB"/>
        </w:rPr>
        <w:tab/>
      </w:r>
      <w:r>
        <w:rPr>
          <w:lang w:val="en-GB"/>
        </w:rPr>
        <w:t>V</w:t>
      </w:r>
      <w:r w:rsidRPr="008B3C9E">
        <w:rPr>
          <w:lang w:val="en-GB"/>
        </w:rPr>
        <w:t>ol</w:t>
      </w:r>
      <w:r>
        <w:rPr>
          <w:lang w:val="en-GB"/>
        </w:rPr>
        <w:t>.</w:t>
      </w:r>
      <w:r w:rsidRPr="008B3C9E">
        <w:rPr>
          <w:lang w:val="en-GB"/>
        </w:rPr>
        <w:t xml:space="preserve"> IV part</w:t>
      </w:r>
      <w:r>
        <w:rPr>
          <w:lang w:val="en-GB"/>
        </w:rPr>
        <w:t>s</w:t>
      </w:r>
      <w:r w:rsidRPr="008B3C9E">
        <w:rPr>
          <w:lang w:val="en-GB"/>
        </w:rPr>
        <w:t xml:space="preserve"> B</w:t>
      </w:r>
      <w:r>
        <w:rPr>
          <w:lang w:val="en-GB"/>
        </w:rPr>
        <w:t xml:space="preserve">+C (starting from page 357), available </w:t>
      </w:r>
      <w:hyperlink r:id="rId6" w:history="1">
        <w:r w:rsidRPr="00B912E0">
          <w:rPr>
            <w:rStyle w:val="Hyperlink"/>
            <w:lang w:val="en-GB"/>
          </w:rPr>
          <w:t>here</w:t>
        </w:r>
      </w:hyperlink>
      <w:r>
        <w:rPr>
          <w:lang w:val="en-GB"/>
        </w:rPr>
        <w:t>.</w:t>
      </w:r>
    </w:p>
  </w:footnote>
  <w:footnote w:id="27">
    <w:p w:rsidR="0074247D" w:rsidRPr="008B3C9E" w:rsidRDefault="0074247D" w:rsidP="00B770CA">
      <w:pPr>
        <w:pStyle w:val="FootnoteText"/>
        <w:spacing w:before="120" w:after="0"/>
        <w:rPr>
          <w:lang w:val="en-GB"/>
        </w:rPr>
      </w:pPr>
      <w:r w:rsidRPr="008B3C9E">
        <w:rPr>
          <w:rStyle w:val="FootnoteReference"/>
          <w:lang w:val="en-GB"/>
        </w:rPr>
        <w:footnoteRef/>
      </w:r>
      <w:r w:rsidRPr="008B3C9E">
        <w:rPr>
          <w:lang w:val="en-GB"/>
        </w:rPr>
        <w:t xml:space="preserve"> </w:t>
      </w:r>
      <w:r w:rsidRPr="008B3C9E">
        <w:rPr>
          <w:lang w:val="en-GB"/>
        </w:rPr>
        <w:tab/>
        <w:t>Commission Implementing Regulation (EU) No 354/2013 of 18 April 2013 on changes of biocidal products authorised in accordance with Regulation (EU) No 528/2012 of the European Parliament and of the Council (OJ L 109, 19.4.2013, p. 4).</w:t>
      </w:r>
    </w:p>
  </w:footnote>
  <w:footnote w:id="28">
    <w:p w:rsidR="0074247D" w:rsidRPr="008B3C9E" w:rsidRDefault="0074247D" w:rsidP="003B5A90">
      <w:pPr>
        <w:pStyle w:val="FootnoteText"/>
        <w:spacing w:before="120" w:after="0"/>
        <w:rPr>
          <w:lang w:val="en-GB"/>
        </w:rPr>
      </w:pPr>
      <w:r w:rsidRPr="008B3C9E">
        <w:rPr>
          <w:rStyle w:val="FootnoteReference"/>
          <w:lang w:val="en-GB"/>
        </w:rPr>
        <w:footnoteRef/>
      </w:r>
      <w:r w:rsidRPr="008B3C9E">
        <w:rPr>
          <w:lang w:val="en-GB"/>
        </w:rPr>
        <w:t xml:space="preserve"> </w:t>
      </w:r>
      <w:r w:rsidRPr="008B3C9E">
        <w:rPr>
          <w:lang w:val="en-GB"/>
        </w:rPr>
        <w:tab/>
        <w:t xml:space="preserve">As agreed under document CA-March16-Doc.4.15-Final, available </w:t>
      </w:r>
      <w:hyperlink r:id="rId7" w:history="1">
        <w:r w:rsidRPr="008B3C9E">
          <w:rPr>
            <w:rStyle w:val="Hyperlink"/>
            <w:lang w:val="en-GB"/>
          </w:rPr>
          <w:t>here</w:t>
        </w:r>
      </w:hyperlink>
      <w:r w:rsidRPr="008B3C9E">
        <w:rPr>
          <w:lang w:val="en-GB"/>
        </w:rPr>
        <w:t xml:space="preserve">. It </w:t>
      </w:r>
      <w:r>
        <w:rPr>
          <w:lang w:val="en-GB"/>
        </w:rPr>
        <w:t>should</w:t>
      </w:r>
      <w:r w:rsidRPr="008B3C9E">
        <w:rPr>
          <w:lang w:val="en-GB"/>
        </w:rPr>
        <w:t xml:space="preserve"> be noted that</w:t>
      </w:r>
      <w:r>
        <w:rPr>
          <w:lang w:val="en-GB"/>
        </w:rPr>
        <w:t>,</w:t>
      </w:r>
      <w:r w:rsidRPr="008B3C9E">
        <w:rPr>
          <w:lang w:val="en-GB"/>
        </w:rPr>
        <w:t xml:space="preserve"> </w:t>
      </w:r>
      <w:r>
        <w:rPr>
          <w:lang w:val="en-GB"/>
        </w:rPr>
        <w:t xml:space="preserve">in </w:t>
      </w:r>
      <w:r w:rsidRPr="008B3C9E">
        <w:rPr>
          <w:lang w:val="en-GB"/>
        </w:rPr>
        <w:t>accord</w:t>
      </w:r>
      <w:r>
        <w:rPr>
          <w:lang w:val="en-GB"/>
        </w:rPr>
        <w:t>ance with</w:t>
      </w:r>
      <w:r w:rsidRPr="008B3C9E">
        <w:rPr>
          <w:lang w:val="en-GB"/>
        </w:rPr>
        <w:t xml:space="preserve"> Article 48(1)(c) of the BPR, the CA of a MS or, in the case of a U</w:t>
      </w:r>
      <w:r>
        <w:rPr>
          <w:lang w:val="en-GB"/>
        </w:rPr>
        <w:t>nion authorisation</w:t>
      </w:r>
      <w:r w:rsidRPr="008B3C9E">
        <w:rPr>
          <w:lang w:val="en-GB"/>
        </w:rPr>
        <w:t xml:space="preserve">, the Commission, </w:t>
      </w:r>
      <w:r w:rsidRPr="003E7CF3">
        <w:t xml:space="preserve"> </w:t>
      </w:r>
      <w:r>
        <w:t>must</w:t>
      </w:r>
      <w:r w:rsidRPr="008B3C9E">
        <w:rPr>
          <w:lang w:val="en-GB"/>
        </w:rPr>
        <w:t xml:space="preserve"> at any time cancel or amend the authorisation where the authorisation holder has failed to comply with its obligations under the authorisation.</w:t>
      </w:r>
    </w:p>
  </w:footnote>
  <w:footnote w:id="29">
    <w:p w:rsidR="0074247D" w:rsidRPr="008B3C9E" w:rsidRDefault="0074247D" w:rsidP="006441B8">
      <w:pPr>
        <w:pStyle w:val="FootnoteText"/>
        <w:spacing w:after="120"/>
        <w:rPr>
          <w:lang w:val="en-GB"/>
        </w:rPr>
      </w:pPr>
      <w:r w:rsidRPr="008B3C9E">
        <w:rPr>
          <w:rStyle w:val="FootnoteReference"/>
          <w:lang w:val="en-GB"/>
        </w:rPr>
        <w:footnoteRef/>
      </w:r>
      <w:r w:rsidRPr="008B3C9E">
        <w:rPr>
          <w:lang w:val="en-GB"/>
        </w:rPr>
        <w:t xml:space="preserve"> </w:t>
      </w:r>
      <w:r w:rsidRPr="008B3C9E">
        <w:rPr>
          <w:lang w:val="en-GB"/>
        </w:rPr>
        <w:tab/>
      </w:r>
      <w:r w:rsidR="002973E1" w:rsidRPr="00F75254">
        <w:rPr>
          <w:lang w:val="en-GB"/>
        </w:rPr>
        <w:t>By 7 June 2018</w:t>
      </w:r>
      <w:r w:rsidRPr="008B6EE4">
        <w:rPr>
          <w:lang w:val="en-GB"/>
        </w:rPr>
        <w:t xml:space="preserve">, </w:t>
      </w:r>
      <w:r w:rsidR="002973E1" w:rsidRPr="008B6EE4">
        <w:rPr>
          <w:lang w:val="en-GB"/>
        </w:rPr>
        <w:t xml:space="preserve">some </w:t>
      </w:r>
      <w:r w:rsidRPr="008B6EE4">
        <w:rPr>
          <w:lang w:val="en-GB"/>
        </w:rPr>
        <w:t>Union authorisation</w:t>
      </w:r>
      <w:r w:rsidR="00C75C23">
        <w:rPr>
          <w:lang w:val="en-GB"/>
        </w:rPr>
        <w:t>s</w:t>
      </w:r>
      <w:r w:rsidRPr="008B6EE4">
        <w:rPr>
          <w:lang w:val="en-GB"/>
        </w:rPr>
        <w:t xml:space="preserve"> </w:t>
      </w:r>
      <w:r w:rsidR="002973E1" w:rsidRPr="00FD1F4F">
        <w:rPr>
          <w:lang w:val="en-GB"/>
        </w:rPr>
        <w:t>might</w:t>
      </w:r>
      <w:r w:rsidR="002973E1" w:rsidRPr="008B3C9E">
        <w:rPr>
          <w:lang w:val="en-GB"/>
        </w:rPr>
        <w:t xml:space="preserve"> </w:t>
      </w:r>
      <w:r w:rsidRPr="008B3C9E">
        <w:rPr>
          <w:lang w:val="en-GB"/>
        </w:rPr>
        <w:t>have been granted by the Commission.</w:t>
      </w:r>
    </w:p>
  </w:footnote>
  <w:footnote w:id="30">
    <w:p w:rsidR="0074247D" w:rsidRPr="008B3C9E" w:rsidRDefault="0074247D" w:rsidP="006441B8">
      <w:pPr>
        <w:pStyle w:val="FootnoteText"/>
        <w:spacing w:after="120"/>
        <w:rPr>
          <w:lang w:val="en-GB"/>
        </w:rPr>
      </w:pPr>
      <w:r w:rsidRPr="008B3C9E">
        <w:rPr>
          <w:rStyle w:val="FootnoteReference"/>
          <w:lang w:val="en-GB"/>
        </w:rPr>
        <w:footnoteRef/>
      </w:r>
      <w:r w:rsidRPr="008B3C9E">
        <w:rPr>
          <w:lang w:val="en-GB"/>
        </w:rPr>
        <w:t xml:space="preserve"> </w:t>
      </w:r>
      <w:r w:rsidRPr="008B3C9E">
        <w:rPr>
          <w:lang w:val="en-GB"/>
        </w:rPr>
        <w:tab/>
        <w:t xml:space="preserve">E.g. </w:t>
      </w:r>
      <w:r>
        <w:rPr>
          <w:lang w:val="en-GB"/>
        </w:rPr>
        <w:t xml:space="preserve">if </w:t>
      </w:r>
      <w:r w:rsidRPr="008B3C9E">
        <w:rPr>
          <w:lang w:val="en-GB"/>
        </w:rPr>
        <w:t xml:space="preserve">the product is identified </w:t>
      </w:r>
      <w:r>
        <w:rPr>
          <w:lang w:val="en-GB"/>
        </w:rPr>
        <w:t xml:space="preserve">as </w:t>
      </w:r>
      <w:r w:rsidRPr="008B3C9E">
        <w:rPr>
          <w:lang w:val="en-GB"/>
        </w:rPr>
        <w:t>having ED properties, the authorised uses by the general public are no longer compliant with Article 19(4) of the BPR.</w:t>
      </w:r>
    </w:p>
  </w:footnote>
  <w:footnote w:id="31">
    <w:p w:rsidR="0074247D" w:rsidRPr="008B3C9E" w:rsidRDefault="0074247D" w:rsidP="006441B8">
      <w:pPr>
        <w:pStyle w:val="FootnoteText"/>
        <w:spacing w:after="120"/>
        <w:rPr>
          <w:lang w:val="en-GB"/>
        </w:rPr>
      </w:pPr>
      <w:r w:rsidRPr="008B3C9E">
        <w:rPr>
          <w:rStyle w:val="FootnoteReference"/>
          <w:lang w:val="en-GB"/>
        </w:rPr>
        <w:footnoteRef/>
      </w:r>
      <w:r w:rsidRPr="008B3C9E">
        <w:rPr>
          <w:lang w:val="en-GB"/>
        </w:rPr>
        <w:t xml:space="preserve"> </w:t>
      </w:r>
      <w:r w:rsidRPr="008B3C9E">
        <w:rPr>
          <w:lang w:val="en-GB"/>
        </w:rPr>
        <w:tab/>
        <w:t xml:space="preserve">E.g. if a co-formulant </w:t>
      </w:r>
      <w:r w:rsidR="00A66500">
        <w:rPr>
          <w:lang w:val="en-GB"/>
        </w:rPr>
        <w:t xml:space="preserve">has ED properties and </w:t>
      </w:r>
      <w:r w:rsidRPr="008B3C9E">
        <w:rPr>
          <w:lang w:val="en-GB"/>
        </w:rPr>
        <w:t>becomes a SoC, then the product no longer meets the eligibility criteria under indent b of Article 25 of the BPR.</w:t>
      </w:r>
    </w:p>
  </w:footnote>
  <w:footnote w:id="32">
    <w:p w:rsidR="00A66500" w:rsidRPr="005F6C49" w:rsidRDefault="00A66500">
      <w:pPr>
        <w:pStyle w:val="FootnoteText"/>
        <w:rPr>
          <w:lang w:val="en-GB"/>
        </w:rPr>
      </w:pPr>
      <w:r>
        <w:rPr>
          <w:rStyle w:val="FootnoteReference"/>
        </w:rPr>
        <w:footnoteRef/>
      </w:r>
      <w:r>
        <w:t xml:space="preserve"> </w:t>
      </w:r>
      <w:r>
        <w:rPr>
          <w:lang w:val="en-GB"/>
        </w:rPr>
        <w:tab/>
        <w:t xml:space="preserve">E.g. due to i) a notification from the authorisation holder in accordance with Article 47 of the BPR or ii) due to conclusions on the ED properties of the same </w:t>
      </w:r>
      <w:r w:rsidRPr="00A66500">
        <w:rPr>
          <w:lang w:val="en-GB"/>
        </w:rPr>
        <w:t xml:space="preserve">active substance or a non-active substance contained in </w:t>
      </w:r>
      <w:r>
        <w:rPr>
          <w:lang w:val="en-GB"/>
        </w:rPr>
        <w:t>other</w:t>
      </w:r>
      <w:r w:rsidRPr="00A66500">
        <w:rPr>
          <w:lang w:val="en-GB"/>
        </w:rPr>
        <w:t xml:space="preserve"> biocidal products</w:t>
      </w:r>
      <w:r>
        <w:rPr>
          <w:lang w:val="en-GB"/>
        </w:rPr>
        <w:t>.</w:t>
      </w:r>
    </w:p>
  </w:footnote>
  <w:footnote w:id="33">
    <w:p w:rsidR="0074247D" w:rsidRPr="008B3C9E" w:rsidRDefault="0074247D" w:rsidP="0003429E">
      <w:pPr>
        <w:pStyle w:val="FootnoteText"/>
        <w:spacing w:after="0"/>
        <w:rPr>
          <w:lang w:val="en-GB"/>
        </w:rPr>
      </w:pPr>
      <w:r w:rsidRPr="008B3C9E">
        <w:rPr>
          <w:rStyle w:val="FootnoteReference"/>
          <w:lang w:val="en-GB"/>
        </w:rPr>
        <w:footnoteRef/>
      </w:r>
      <w:r w:rsidRPr="008B3C9E">
        <w:rPr>
          <w:lang w:val="en-GB"/>
        </w:rPr>
        <w:t xml:space="preserve"> </w:t>
      </w:r>
      <w:r w:rsidRPr="008B3C9E">
        <w:rPr>
          <w:lang w:val="en-GB"/>
        </w:rPr>
        <w:tab/>
        <w:t>Commission Delegated Regulation (EU) No 492/2014 of 7 March 2014 supplementing Regulation (EU) No 528/2012 of the European Parliament and of the Council as regards the rules for the renewal of authorisations of biocidal products subject to mutual recognition (OJ L 139, 14.5.2014, p.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47D" w:rsidRPr="008B3C9E" w:rsidRDefault="0074247D" w:rsidP="004C3BF1">
    <w:pPr>
      <w:pStyle w:val="Header"/>
      <w:tabs>
        <w:tab w:val="clear" w:pos="4153"/>
        <w:tab w:val="clear" w:pos="8306"/>
        <w:tab w:val="left" w:pos="6094"/>
      </w:tabs>
    </w:pPr>
    <w:r w:rsidRPr="008B3C9E">
      <w:tab/>
    </w:r>
    <w:r>
      <w:ptab w:relativeTo="margin" w:alignment="center"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47D" w:rsidRPr="008B3C9E" w:rsidRDefault="0074247D" w:rsidP="00D0797F">
    <w:pPr>
      <w:pStyle w:val="Header"/>
      <w:jc w:val="right"/>
    </w:pPr>
    <w:r w:rsidRPr="008B3C9E">
      <w:t>CA-</w:t>
    </w:r>
    <w:r w:rsidR="00195576">
      <w:t>March</w:t>
    </w:r>
    <w:r w:rsidR="00AD0E1A">
      <w:t>1</w:t>
    </w:r>
    <w:r w:rsidR="00233FCF">
      <w:t>8</w:t>
    </w:r>
    <w:r w:rsidRPr="008B3C9E">
      <w:t>-Doc.</w:t>
    </w:r>
    <w:r>
      <w:t>7.</w:t>
    </w:r>
    <w:r w:rsidR="00933194">
      <w:t>3</w:t>
    </w:r>
    <w:r w:rsidR="00DD1E7B">
      <w:t>.b</w:t>
    </w:r>
    <w:r w:rsidR="0058509B">
      <w:t>-final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FFFFFF88"/>
    <w:multiLevelType w:val="singleLevel"/>
    <w:tmpl w:val="432C4168"/>
    <w:lvl w:ilvl="0">
      <w:start w:val="1"/>
      <w:numFmt w:val="decimal"/>
      <w:lvlText w:val="%1."/>
      <w:lvlJc w:val="left"/>
      <w:pPr>
        <w:tabs>
          <w:tab w:val="num" w:pos="360"/>
        </w:tabs>
        <w:ind w:left="360" w:hanging="360"/>
      </w:pPr>
    </w:lvl>
  </w:abstractNum>
  <w:abstractNum w:abstractNumId="3">
    <w:nsid w:val="004515AE"/>
    <w:multiLevelType w:val="multilevel"/>
    <w:tmpl w:val="E1EE116A"/>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1A46C02"/>
    <w:multiLevelType w:val="singleLevel"/>
    <w:tmpl w:val="A4BA1AF0"/>
    <w:name w:val="Tiret 3"/>
    <w:lvl w:ilvl="0">
      <w:start w:val="1"/>
      <w:numFmt w:val="bullet"/>
      <w:lvlRestart w:val="0"/>
      <w:pStyle w:val="Tiret0"/>
      <w:lvlText w:val="–"/>
      <w:lvlJc w:val="left"/>
      <w:pPr>
        <w:tabs>
          <w:tab w:val="num" w:pos="850"/>
        </w:tabs>
        <w:ind w:left="850" w:hanging="850"/>
      </w:pPr>
    </w:lvl>
  </w:abstractNum>
  <w:abstractNum w:abstractNumId="6">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7">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8">
    <w:nsid w:val="1A9E655D"/>
    <w:multiLevelType w:val="multilevel"/>
    <w:tmpl w:val="F60CD884"/>
    <w:lvl w:ilvl="0">
      <w:start w:val="1"/>
      <w:numFmt w:val="decimal"/>
      <w:pStyle w:val="ListNumber"/>
      <w:lvlText w:val="(%1)"/>
      <w:lvlJc w:val="left"/>
      <w:pPr>
        <w:tabs>
          <w:tab w:val="num" w:pos="851"/>
        </w:tabs>
        <w:ind w:left="851" w:hanging="709"/>
      </w:pPr>
      <w:rPr>
        <w:rFonts w:ascii="Times New Roman" w:hAnsi="Times New Roman" w:cs="Times New Roman" w:hint="default"/>
        <w:sz w:val="24"/>
        <w:szCs w:val="24"/>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0">
    <w:nsid w:val="25AC6F55"/>
    <w:multiLevelType w:val="hybridMultilevel"/>
    <w:tmpl w:val="58C4D200"/>
    <w:lvl w:ilvl="0" w:tplc="F392E7AC">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1">
    <w:nsid w:val="262A6334"/>
    <w:multiLevelType w:val="hybridMultilevel"/>
    <w:tmpl w:val="2B12CA36"/>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2">
    <w:nsid w:val="27A34702"/>
    <w:multiLevelType w:val="hybridMultilevel"/>
    <w:tmpl w:val="9ED85BE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4">
    <w:nsid w:val="2D001D56"/>
    <w:multiLevelType w:val="multilevel"/>
    <w:tmpl w:val="5F1AD740"/>
    <w:lvl w:ilvl="0">
      <w:start w:val="1"/>
      <w:numFmt w:val="decimal"/>
      <w:lvlText w:val="%1."/>
      <w:lvlJc w:val="left"/>
      <w:pPr>
        <w:ind w:left="72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2D3B5E50"/>
    <w:multiLevelType w:val="hybridMultilevel"/>
    <w:tmpl w:val="CE5E6BF8"/>
    <w:lvl w:ilvl="0" w:tplc="652CA508">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6">
    <w:nsid w:val="31CC1ECC"/>
    <w:multiLevelType w:val="hybridMultilevel"/>
    <w:tmpl w:val="1FFA3356"/>
    <w:lvl w:ilvl="0" w:tplc="56D0F6B4">
      <w:start w:val="1"/>
      <w:numFmt w:val="lowerLetter"/>
      <w:lvlText w:val="%1)"/>
      <w:lvlJc w:val="left"/>
      <w:pPr>
        <w:ind w:left="1084" w:hanging="360"/>
      </w:pPr>
      <w:rPr>
        <w:rFonts w:hint="default"/>
      </w:rPr>
    </w:lvl>
    <w:lvl w:ilvl="1" w:tplc="0C0A0019" w:tentative="1">
      <w:start w:val="1"/>
      <w:numFmt w:val="lowerLetter"/>
      <w:lvlText w:val="%2."/>
      <w:lvlJc w:val="left"/>
      <w:pPr>
        <w:ind w:left="1804" w:hanging="360"/>
      </w:pPr>
    </w:lvl>
    <w:lvl w:ilvl="2" w:tplc="0C0A001B" w:tentative="1">
      <w:start w:val="1"/>
      <w:numFmt w:val="lowerRoman"/>
      <w:lvlText w:val="%3."/>
      <w:lvlJc w:val="right"/>
      <w:pPr>
        <w:ind w:left="2524" w:hanging="180"/>
      </w:pPr>
    </w:lvl>
    <w:lvl w:ilvl="3" w:tplc="0C0A000F" w:tentative="1">
      <w:start w:val="1"/>
      <w:numFmt w:val="decimal"/>
      <w:lvlText w:val="%4."/>
      <w:lvlJc w:val="left"/>
      <w:pPr>
        <w:ind w:left="3244" w:hanging="360"/>
      </w:pPr>
    </w:lvl>
    <w:lvl w:ilvl="4" w:tplc="0C0A0019" w:tentative="1">
      <w:start w:val="1"/>
      <w:numFmt w:val="lowerLetter"/>
      <w:lvlText w:val="%5."/>
      <w:lvlJc w:val="left"/>
      <w:pPr>
        <w:ind w:left="3964" w:hanging="360"/>
      </w:pPr>
    </w:lvl>
    <w:lvl w:ilvl="5" w:tplc="0C0A001B" w:tentative="1">
      <w:start w:val="1"/>
      <w:numFmt w:val="lowerRoman"/>
      <w:lvlText w:val="%6."/>
      <w:lvlJc w:val="right"/>
      <w:pPr>
        <w:ind w:left="4684" w:hanging="180"/>
      </w:pPr>
    </w:lvl>
    <w:lvl w:ilvl="6" w:tplc="0C0A000F" w:tentative="1">
      <w:start w:val="1"/>
      <w:numFmt w:val="decimal"/>
      <w:lvlText w:val="%7."/>
      <w:lvlJc w:val="left"/>
      <w:pPr>
        <w:ind w:left="5404" w:hanging="360"/>
      </w:pPr>
    </w:lvl>
    <w:lvl w:ilvl="7" w:tplc="0C0A0019" w:tentative="1">
      <w:start w:val="1"/>
      <w:numFmt w:val="lowerLetter"/>
      <w:lvlText w:val="%8."/>
      <w:lvlJc w:val="left"/>
      <w:pPr>
        <w:ind w:left="6124" w:hanging="360"/>
      </w:pPr>
    </w:lvl>
    <w:lvl w:ilvl="8" w:tplc="0C0A001B" w:tentative="1">
      <w:start w:val="1"/>
      <w:numFmt w:val="lowerRoman"/>
      <w:lvlText w:val="%9."/>
      <w:lvlJc w:val="right"/>
      <w:pPr>
        <w:ind w:left="6844" w:hanging="180"/>
      </w:pPr>
    </w:lvl>
  </w:abstractNum>
  <w:abstractNum w:abstractNumId="17">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8">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A432656"/>
    <w:multiLevelType w:val="multilevel"/>
    <w:tmpl w:val="AC885D7A"/>
    <w:lvl w:ilvl="0">
      <w:start w:val="1"/>
      <w:numFmt w:val="decimal"/>
      <w:lvlText w:val="%1."/>
      <w:lvlJc w:val="left"/>
      <w:pPr>
        <w:tabs>
          <w:tab w:val="num" w:pos="480"/>
        </w:tabs>
        <w:ind w:left="480" w:hanging="480"/>
      </w:pPr>
    </w:lvl>
    <w:lvl w:ilvl="1">
      <w:start w:val="1"/>
      <w:numFmt w:val="decimal"/>
      <w:lvlText w:val="%1.%2."/>
      <w:lvlJc w:val="left"/>
      <w:pPr>
        <w:tabs>
          <w:tab w:val="num" w:pos="1080"/>
        </w:tabs>
        <w:ind w:left="1080" w:hanging="600"/>
      </w:pPr>
    </w:lvl>
    <w:lvl w:ilvl="2">
      <w:start w:val="1"/>
      <w:numFmt w:val="decimal"/>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AB01038"/>
    <w:multiLevelType w:val="singleLevel"/>
    <w:tmpl w:val="EA848EBE"/>
    <w:name w:val="Considérant"/>
    <w:lvl w:ilvl="0">
      <w:start w:val="1"/>
      <w:numFmt w:val="bullet"/>
      <w:lvlRestart w:val="0"/>
      <w:pStyle w:val="Tiret4"/>
      <w:lvlText w:val="–"/>
      <w:lvlJc w:val="left"/>
      <w:pPr>
        <w:tabs>
          <w:tab w:val="num" w:pos="3118"/>
        </w:tabs>
        <w:ind w:left="3118" w:hanging="567"/>
      </w:pPr>
    </w:lvl>
  </w:abstractNum>
  <w:abstractNum w:abstractNumId="23">
    <w:nsid w:val="4FC5055E"/>
    <w:multiLevelType w:val="hybridMultilevel"/>
    <w:tmpl w:val="A4ECA544"/>
    <w:lvl w:ilvl="0" w:tplc="F44A8256">
      <w:numFmt w:val="bullet"/>
      <w:lvlText w:val="-"/>
      <w:lvlJc w:val="left"/>
      <w:pPr>
        <w:ind w:left="1777" w:hanging="360"/>
      </w:pPr>
      <w:rPr>
        <w:rFonts w:ascii="Times New Roman" w:eastAsia="Times New Roman" w:hAnsi="Times New Roman" w:cs="Times New Roman" w:hint="default"/>
      </w:rPr>
    </w:lvl>
    <w:lvl w:ilvl="1" w:tplc="08090003" w:tentative="1">
      <w:start w:val="1"/>
      <w:numFmt w:val="bullet"/>
      <w:lvlText w:val="o"/>
      <w:lvlJc w:val="left"/>
      <w:pPr>
        <w:ind w:left="2497" w:hanging="360"/>
      </w:pPr>
      <w:rPr>
        <w:rFonts w:ascii="Courier New" w:hAnsi="Courier New" w:cs="Courier New" w:hint="default"/>
      </w:rPr>
    </w:lvl>
    <w:lvl w:ilvl="2" w:tplc="08090005" w:tentative="1">
      <w:start w:val="1"/>
      <w:numFmt w:val="bullet"/>
      <w:lvlText w:val=""/>
      <w:lvlJc w:val="left"/>
      <w:pPr>
        <w:ind w:left="3217" w:hanging="360"/>
      </w:pPr>
      <w:rPr>
        <w:rFonts w:ascii="Wingdings" w:hAnsi="Wingdings" w:hint="default"/>
      </w:rPr>
    </w:lvl>
    <w:lvl w:ilvl="3" w:tplc="08090001" w:tentative="1">
      <w:start w:val="1"/>
      <w:numFmt w:val="bullet"/>
      <w:lvlText w:val=""/>
      <w:lvlJc w:val="left"/>
      <w:pPr>
        <w:ind w:left="3937" w:hanging="360"/>
      </w:pPr>
      <w:rPr>
        <w:rFonts w:ascii="Symbol" w:hAnsi="Symbol" w:hint="default"/>
      </w:rPr>
    </w:lvl>
    <w:lvl w:ilvl="4" w:tplc="08090003" w:tentative="1">
      <w:start w:val="1"/>
      <w:numFmt w:val="bullet"/>
      <w:lvlText w:val="o"/>
      <w:lvlJc w:val="left"/>
      <w:pPr>
        <w:ind w:left="4657" w:hanging="360"/>
      </w:pPr>
      <w:rPr>
        <w:rFonts w:ascii="Courier New" w:hAnsi="Courier New" w:cs="Courier New" w:hint="default"/>
      </w:rPr>
    </w:lvl>
    <w:lvl w:ilvl="5" w:tplc="08090005" w:tentative="1">
      <w:start w:val="1"/>
      <w:numFmt w:val="bullet"/>
      <w:lvlText w:val=""/>
      <w:lvlJc w:val="left"/>
      <w:pPr>
        <w:ind w:left="5377" w:hanging="360"/>
      </w:pPr>
      <w:rPr>
        <w:rFonts w:ascii="Wingdings" w:hAnsi="Wingdings" w:hint="default"/>
      </w:rPr>
    </w:lvl>
    <w:lvl w:ilvl="6" w:tplc="08090001" w:tentative="1">
      <w:start w:val="1"/>
      <w:numFmt w:val="bullet"/>
      <w:lvlText w:val=""/>
      <w:lvlJc w:val="left"/>
      <w:pPr>
        <w:ind w:left="6097" w:hanging="360"/>
      </w:pPr>
      <w:rPr>
        <w:rFonts w:ascii="Symbol" w:hAnsi="Symbol" w:hint="default"/>
      </w:rPr>
    </w:lvl>
    <w:lvl w:ilvl="7" w:tplc="08090003" w:tentative="1">
      <w:start w:val="1"/>
      <w:numFmt w:val="bullet"/>
      <w:lvlText w:val="o"/>
      <w:lvlJc w:val="left"/>
      <w:pPr>
        <w:ind w:left="6817" w:hanging="360"/>
      </w:pPr>
      <w:rPr>
        <w:rFonts w:ascii="Courier New" w:hAnsi="Courier New" w:cs="Courier New" w:hint="default"/>
      </w:rPr>
    </w:lvl>
    <w:lvl w:ilvl="8" w:tplc="08090005" w:tentative="1">
      <w:start w:val="1"/>
      <w:numFmt w:val="bullet"/>
      <w:lvlText w:val=""/>
      <w:lvlJc w:val="left"/>
      <w:pPr>
        <w:ind w:left="7537" w:hanging="360"/>
      </w:pPr>
      <w:rPr>
        <w:rFonts w:ascii="Wingdings" w:hAnsi="Wingdings" w:hint="default"/>
      </w:rPr>
    </w:lvl>
  </w:abstractNum>
  <w:abstractNum w:abstractNumId="24">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5">
    <w:nsid w:val="57244801"/>
    <w:multiLevelType w:val="multilevel"/>
    <w:tmpl w:val="5F1AD740"/>
    <w:lvl w:ilvl="0">
      <w:start w:val="1"/>
      <w:numFmt w:val="decimal"/>
      <w:lvlText w:val="%1."/>
      <w:lvlJc w:val="left"/>
      <w:pPr>
        <w:ind w:left="72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7">
    <w:nsid w:val="66341653"/>
    <w:multiLevelType w:val="hybridMultilevel"/>
    <w:tmpl w:val="31D4F3D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9">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0">
    <w:nsid w:val="6AD9570F"/>
    <w:multiLevelType w:val="multilevel"/>
    <w:tmpl w:val="3AF2B950"/>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7"/>
        </w:tabs>
        <w:ind w:left="1417" w:hanging="708"/>
      </w:pPr>
      <w:rPr>
        <w:rFonts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2">
    <w:nsid w:val="79FA34D6"/>
    <w:multiLevelType w:val="singleLevel"/>
    <w:tmpl w:val="DCB80990"/>
    <w:name w:val="Bullet 2"/>
    <w:lvl w:ilvl="0">
      <w:start w:val="1"/>
      <w:numFmt w:val="bullet"/>
      <w:pStyle w:val="Par-bullet"/>
      <w:lvlText w:val=""/>
      <w:lvlJc w:val="left"/>
      <w:pPr>
        <w:tabs>
          <w:tab w:val="num" w:pos="360"/>
        </w:tabs>
        <w:ind w:left="360" w:hanging="360"/>
      </w:pPr>
      <w:rPr>
        <w:rFonts w:ascii="Symbol" w:hAnsi="Symbol" w:hint="default"/>
      </w:rPr>
    </w:lvl>
  </w:abstractNum>
  <w:abstractNum w:abstractNumId="33">
    <w:nsid w:val="7E8F7B42"/>
    <w:multiLevelType w:val="hybridMultilevel"/>
    <w:tmpl w:val="BCCECD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21"/>
  </w:num>
  <w:num w:numId="4">
    <w:abstractNumId w:val="24"/>
  </w:num>
  <w:num w:numId="5">
    <w:abstractNumId w:val="17"/>
  </w:num>
  <w:num w:numId="6">
    <w:abstractNumId w:val="13"/>
  </w:num>
  <w:num w:numId="7">
    <w:abstractNumId w:val="7"/>
  </w:num>
  <w:num w:numId="8">
    <w:abstractNumId w:val="6"/>
  </w:num>
  <w:num w:numId="9">
    <w:abstractNumId w:val="26"/>
  </w:num>
  <w:num w:numId="10">
    <w:abstractNumId w:val="29"/>
  </w:num>
  <w:num w:numId="11">
    <w:abstractNumId w:val="28"/>
  </w:num>
  <w:num w:numId="12">
    <w:abstractNumId w:val="31"/>
  </w:num>
  <w:num w:numId="13">
    <w:abstractNumId w:val="9"/>
  </w:num>
  <w:num w:numId="14">
    <w:abstractNumId w:val="19"/>
  </w:num>
  <w:num w:numId="15">
    <w:abstractNumId w:val="18"/>
  </w:num>
  <w:num w:numId="16">
    <w:abstractNumId w:val="4"/>
  </w:num>
  <w:num w:numId="17">
    <w:abstractNumId w:val="20"/>
  </w:num>
  <w:num w:numId="18">
    <w:abstractNumId w:val="32"/>
  </w:num>
  <w:num w:numId="19">
    <w:abstractNumId w:val="8"/>
  </w:num>
  <w:num w:numId="20">
    <w:abstractNumId w:val="25"/>
  </w:num>
  <w:num w:numId="21">
    <w:abstractNumId w:val="11"/>
  </w:num>
  <w:num w:numId="22">
    <w:abstractNumId w:val="27"/>
  </w:num>
  <w:num w:numId="23">
    <w:abstractNumId w:val="30"/>
  </w:num>
  <w:num w:numId="24">
    <w:abstractNumId w:val="5"/>
  </w:num>
  <w:num w:numId="25">
    <w:abstractNumId w:val="22"/>
  </w:num>
  <w:num w:numId="26">
    <w:abstractNumId w:val="2"/>
  </w:num>
  <w:num w:numId="27">
    <w:abstractNumId w:val="14"/>
  </w:num>
  <w:num w:numId="28">
    <w:abstractNumId w:val="3"/>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5"/>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8"/>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23"/>
  </w:num>
  <w:num w:numId="39">
    <w:abstractNumId w:val="10"/>
  </w:num>
  <w:num w:numId="40">
    <w:abstractNumId w:val="8"/>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N DE PLASSCHE Erik">
    <w15:presenceInfo w15:providerId="AD" w15:userId="S-1-5-21-2444889250-2882189981-708495972-4667"/>
  </w15:person>
  <w15:person w15:author="Antero Airaksinen">
    <w15:presenceInfo w15:providerId="None" w15:userId="Antero Airaksin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T"/>
    <w:docVar w:name="Stamp" w:val="\\dossiers.dgt.cec.eu.int\dossiers\SANTE\SANTE-2017-10447\SANTE-2017-10447-00-00-EN-REV-00.20170323121443490663.DOC"/>
  </w:docVars>
  <w:rsids>
    <w:rsidRoot w:val="00710222"/>
    <w:rsid w:val="00001EFD"/>
    <w:rsid w:val="00002670"/>
    <w:rsid w:val="0000373F"/>
    <w:rsid w:val="0000489E"/>
    <w:rsid w:val="00004BFB"/>
    <w:rsid w:val="00004F0C"/>
    <w:rsid w:val="0000524E"/>
    <w:rsid w:val="000055A2"/>
    <w:rsid w:val="00006A10"/>
    <w:rsid w:val="0000710F"/>
    <w:rsid w:val="000072D8"/>
    <w:rsid w:val="00007530"/>
    <w:rsid w:val="0000796B"/>
    <w:rsid w:val="00011F2B"/>
    <w:rsid w:val="000124D2"/>
    <w:rsid w:val="00013471"/>
    <w:rsid w:val="0001492D"/>
    <w:rsid w:val="000155D6"/>
    <w:rsid w:val="00015A81"/>
    <w:rsid w:val="0001620B"/>
    <w:rsid w:val="000169C9"/>
    <w:rsid w:val="000175C0"/>
    <w:rsid w:val="000175D7"/>
    <w:rsid w:val="000179F3"/>
    <w:rsid w:val="000202D4"/>
    <w:rsid w:val="000203A1"/>
    <w:rsid w:val="00021AAC"/>
    <w:rsid w:val="0002357B"/>
    <w:rsid w:val="00024D99"/>
    <w:rsid w:val="0002507B"/>
    <w:rsid w:val="000257A3"/>
    <w:rsid w:val="000266E8"/>
    <w:rsid w:val="00027225"/>
    <w:rsid w:val="000276C9"/>
    <w:rsid w:val="00027E51"/>
    <w:rsid w:val="00027FA8"/>
    <w:rsid w:val="0003042F"/>
    <w:rsid w:val="00030460"/>
    <w:rsid w:val="00031591"/>
    <w:rsid w:val="00031A9C"/>
    <w:rsid w:val="000321A1"/>
    <w:rsid w:val="00032233"/>
    <w:rsid w:val="00033243"/>
    <w:rsid w:val="0003429E"/>
    <w:rsid w:val="00034416"/>
    <w:rsid w:val="0003463A"/>
    <w:rsid w:val="000349F7"/>
    <w:rsid w:val="00034AB6"/>
    <w:rsid w:val="00034DC5"/>
    <w:rsid w:val="00035D73"/>
    <w:rsid w:val="00037479"/>
    <w:rsid w:val="00037502"/>
    <w:rsid w:val="00037B5B"/>
    <w:rsid w:val="0004060E"/>
    <w:rsid w:val="000414B6"/>
    <w:rsid w:val="000414E3"/>
    <w:rsid w:val="00041D7D"/>
    <w:rsid w:val="00042311"/>
    <w:rsid w:val="00042319"/>
    <w:rsid w:val="0004488B"/>
    <w:rsid w:val="00045255"/>
    <w:rsid w:val="000455D2"/>
    <w:rsid w:val="00046823"/>
    <w:rsid w:val="0004682F"/>
    <w:rsid w:val="00047616"/>
    <w:rsid w:val="00047D84"/>
    <w:rsid w:val="000501ED"/>
    <w:rsid w:val="000508AC"/>
    <w:rsid w:val="00050D15"/>
    <w:rsid w:val="0005113A"/>
    <w:rsid w:val="00051187"/>
    <w:rsid w:val="00052AD7"/>
    <w:rsid w:val="000536B4"/>
    <w:rsid w:val="00053E55"/>
    <w:rsid w:val="0005450E"/>
    <w:rsid w:val="000548D7"/>
    <w:rsid w:val="00054CA4"/>
    <w:rsid w:val="000553E9"/>
    <w:rsid w:val="000563FD"/>
    <w:rsid w:val="0005792B"/>
    <w:rsid w:val="0006172B"/>
    <w:rsid w:val="0006190D"/>
    <w:rsid w:val="00062AB7"/>
    <w:rsid w:val="00062EB9"/>
    <w:rsid w:val="0006324B"/>
    <w:rsid w:val="00064381"/>
    <w:rsid w:val="00064C68"/>
    <w:rsid w:val="00065BE3"/>
    <w:rsid w:val="00066E3C"/>
    <w:rsid w:val="000672A6"/>
    <w:rsid w:val="00070967"/>
    <w:rsid w:val="00071D30"/>
    <w:rsid w:val="0007348E"/>
    <w:rsid w:val="00073604"/>
    <w:rsid w:val="00073BF3"/>
    <w:rsid w:val="00074470"/>
    <w:rsid w:val="0007485E"/>
    <w:rsid w:val="000767D2"/>
    <w:rsid w:val="00080131"/>
    <w:rsid w:val="00081DE5"/>
    <w:rsid w:val="0008223A"/>
    <w:rsid w:val="00082B4D"/>
    <w:rsid w:val="00082C74"/>
    <w:rsid w:val="00082CC5"/>
    <w:rsid w:val="00083D9D"/>
    <w:rsid w:val="00084048"/>
    <w:rsid w:val="0008439C"/>
    <w:rsid w:val="00084811"/>
    <w:rsid w:val="00085015"/>
    <w:rsid w:val="00085567"/>
    <w:rsid w:val="00086FB1"/>
    <w:rsid w:val="00087666"/>
    <w:rsid w:val="00087966"/>
    <w:rsid w:val="00092896"/>
    <w:rsid w:val="00093AB0"/>
    <w:rsid w:val="00096CD8"/>
    <w:rsid w:val="0009714B"/>
    <w:rsid w:val="000976B2"/>
    <w:rsid w:val="000A1C6C"/>
    <w:rsid w:val="000A36C7"/>
    <w:rsid w:val="000A42E9"/>
    <w:rsid w:val="000A43CE"/>
    <w:rsid w:val="000A51F3"/>
    <w:rsid w:val="000A59D0"/>
    <w:rsid w:val="000A680A"/>
    <w:rsid w:val="000A6AAA"/>
    <w:rsid w:val="000A6D44"/>
    <w:rsid w:val="000A6D58"/>
    <w:rsid w:val="000A72B9"/>
    <w:rsid w:val="000B085D"/>
    <w:rsid w:val="000B1280"/>
    <w:rsid w:val="000B13E5"/>
    <w:rsid w:val="000B17A1"/>
    <w:rsid w:val="000B220E"/>
    <w:rsid w:val="000B22B2"/>
    <w:rsid w:val="000B2343"/>
    <w:rsid w:val="000B2B3B"/>
    <w:rsid w:val="000B317C"/>
    <w:rsid w:val="000B3CE4"/>
    <w:rsid w:val="000B66C3"/>
    <w:rsid w:val="000B69A9"/>
    <w:rsid w:val="000C0FD6"/>
    <w:rsid w:val="000C1735"/>
    <w:rsid w:val="000C1953"/>
    <w:rsid w:val="000C1E9A"/>
    <w:rsid w:val="000C33BE"/>
    <w:rsid w:val="000C3930"/>
    <w:rsid w:val="000C3ED9"/>
    <w:rsid w:val="000C4505"/>
    <w:rsid w:val="000C4610"/>
    <w:rsid w:val="000C4B24"/>
    <w:rsid w:val="000C4BED"/>
    <w:rsid w:val="000C4F1C"/>
    <w:rsid w:val="000C620F"/>
    <w:rsid w:val="000C6388"/>
    <w:rsid w:val="000C6744"/>
    <w:rsid w:val="000C71BF"/>
    <w:rsid w:val="000C7925"/>
    <w:rsid w:val="000C7A71"/>
    <w:rsid w:val="000C7ED0"/>
    <w:rsid w:val="000D1636"/>
    <w:rsid w:val="000D1D31"/>
    <w:rsid w:val="000D1E9A"/>
    <w:rsid w:val="000D2115"/>
    <w:rsid w:val="000D2D46"/>
    <w:rsid w:val="000D364F"/>
    <w:rsid w:val="000D367E"/>
    <w:rsid w:val="000D4963"/>
    <w:rsid w:val="000D5333"/>
    <w:rsid w:val="000D630D"/>
    <w:rsid w:val="000D66DD"/>
    <w:rsid w:val="000D6732"/>
    <w:rsid w:val="000D7653"/>
    <w:rsid w:val="000D793D"/>
    <w:rsid w:val="000E07F5"/>
    <w:rsid w:val="000E17D2"/>
    <w:rsid w:val="000E1F6A"/>
    <w:rsid w:val="000E2C27"/>
    <w:rsid w:val="000E2C82"/>
    <w:rsid w:val="000E2E97"/>
    <w:rsid w:val="000E4C77"/>
    <w:rsid w:val="000E5B94"/>
    <w:rsid w:val="000E5BC2"/>
    <w:rsid w:val="000E5D89"/>
    <w:rsid w:val="000E5E2F"/>
    <w:rsid w:val="000E62F7"/>
    <w:rsid w:val="000E6B6F"/>
    <w:rsid w:val="000E6E49"/>
    <w:rsid w:val="000F09B8"/>
    <w:rsid w:val="000F10AA"/>
    <w:rsid w:val="000F298D"/>
    <w:rsid w:val="000F3A8A"/>
    <w:rsid w:val="000F3E56"/>
    <w:rsid w:val="000F4226"/>
    <w:rsid w:val="000F51BA"/>
    <w:rsid w:val="000F5460"/>
    <w:rsid w:val="000F68A1"/>
    <w:rsid w:val="000F6B70"/>
    <w:rsid w:val="000F6D0D"/>
    <w:rsid w:val="000F75BD"/>
    <w:rsid w:val="00100121"/>
    <w:rsid w:val="001006E0"/>
    <w:rsid w:val="00100791"/>
    <w:rsid w:val="00100F4B"/>
    <w:rsid w:val="00101404"/>
    <w:rsid w:val="0010148D"/>
    <w:rsid w:val="00101AE0"/>
    <w:rsid w:val="00102567"/>
    <w:rsid w:val="0010267B"/>
    <w:rsid w:val="00102B98"/>
    <w:rsid w:val="001035B6"/>
    <w:rsid w:val="00104653"/>
    <w:rsid w:val="00105ECF"/>
    <w:rsid w:val="00105F21"/>
    <w:rsid w:val="00106A0D"/>
    <w:rsid w:val="00106B7B"/>
    <w:rsid w:val="00106D63"/>
    <w:rsid w:val="00107069"/>
    <w:rsid w:val="00107AF3"/>
    <w:rsid w:val="00107B11"/>
    <w:rsid w:val="00107DF6"/>
    <w:rsid w:val="00110A77"/>
    <w:rsid w:val="00111360"/>
    <w:rsid w:val="00111F53"/>
    <w:rsid w:val="0011344F"/>
    <w:rsid w:val="0011373E"/>
    <w:rsid w:val="00113C71"/>
    <w:rsid w:val="00113F8C"/>
    <w:rsid w:val="00113FA6"/>
    <w:rsid w:val="001157E0"/>
    <w:rsid w:val="0011613A"/>
    <w:rsid w:val="0011690C"/>
    <w:rsid w:val="001178ED"/>
    <w:rsid w:val="00117DDB"/>
    <w:rsid w:val="00120A8E"/>
    <w:rsid w:val="0012270D"/>
    <w:rsid w:val="00122E28"/>
    <w:rsid w:val="001270CC"/>
    <w:rsid w:val="001274F5"/>
    <w:rsid w:val="00127607"/>
    <w:rsid w:val="00127625"/>
    <w:rsid w:val="00130294"/>
    <w:rsid w:val="00130F1D"/>
    <w:rsid w:val="0013156F"/>
    <w:rsid w:val="001315B4"/>
    <w:rsid w:val="001330C9"/>
    <w:rsid w:val="00133608"/>
    <w:rsid w:val="00133F46"/>
    <w:rsid w:val="00134B58"/>
    <w:rsid w:val="00135A2E"/>
    <w:rsid w:val="00135E9A"/>
    <w:rsid w:val="00135F0F"/>
    <w:rsid w:val="00136624"/>
    <w:rsid w:val="001402B5"/>
    <w:rsid w:val="00141801"/>
    <w:rsid w:val="00141987"/>
    <w:rsid w:val="00141CEA"/>
    <w:rsid w:val="001431E9"/>
    <w:rsid w:val="001438FB"/>
    <w:rsid w:val="00143916"/>
    <w:rsid w:val="001443BD"/>
    <w:rsid w:val="001446F5"/>
    <w:rsid w:val="00144CFF"/>
    <w:rsid w:val="00144F6A"/>
    <w:rsid w:val="00145481"/>
    <w:rsid w:val="00145630"/>
    <w:rsid w:val="00145999"/>
    <w:rsid w:val="00145A6C"/>
    <w:rsid w:val="001464B7"/>
    <w:rsid w:val="001467DC"/>
    <w:rsid w:val="001472B5"/>
    <w:rsid w:val="00147403"/>
    <w:rsid w:val="00147F0A"/>
    <w:rsid w:val="0015047F"/>
    <w:rsid w:val="001507EE"/>
    <w:rsid w:val="00150E85"/>
    <w:rsid w:val="00150FF3"/>
    <w:rsid w:val="00151290"/>
    <w:rsid w:val="00152963"/>
    <w:rsid w:val="00152ECD"/>
    <w:rsid w:val="001533BC"/>
    <w:rsid w:val="00154F09"/>
    <w:rsid w:val="001552F1"/>
    <w:rsid w:val="00155638"/>
    <w:rsid w:val="001559E3"/>
    <w:rsid w:val="00156E66"/>
    <w:rsid w:val="001573B0"/>
    <w:rsid w:val="00157A62"/>
    <w:rsid w:val="00157AEA"/>
    <w:rsid w:val="001615C9"/>
    <w:rsid w:val="00161F44"/>
    <w:rsid w:val="0016208B"/>
    <w:rsid w:val="00162776"/>
    <w:rsid w:val="00163472"/>
    <w:rsid w:val="00163480"/>
    <w:rsid w:val="00164114"/>
    <w:rsid w:val="00164134"/>
    <w:rsid w:val="001647B9"/>
    <w:rsid w:val="00164B23"/>
    <w:rsid w:val="001658A9"/>
    <w:rsid w:val="0016628C"/>
    <w:rsid w:val="001666CB"/>
    <w:rsid w:val="00166FFB"/>
    <w:rsid w:val="00167E04"/>
    <w:rsid w:val="00170456"/>
    <w:rsid w:val="0017075B"/>
    <w:rsid w:val="00171093"/>
    <w:rsid w:val="00171224"/>
    <w:rsid w:val="001717CB"/>
    <w:rsid w:val="00171BDF"/>
    <w:rsid w:val="001720CC"/>
    <w:rsid w:val="0017242B"/>
    <w:rsid w:val="0017263E"/>
    <w:rsid w:val="00172844"/>
    <w:rsid w:val="0017290C"/>
    <w:rsid w:val="00172DD8"/>
    <w:rsid w:val="0017461A"/>
    <w:rsid w:val="00174FD6"/>
    <w:rsid w:val="0017523A"/>
    <w:rsid w:val="00177910"/>
    <w:rsid w:val="00180026"/>
    <w:rsid w:val="0018037D"/>
    <w:rsid w:val="00180392"/>
    <w:rsid w:val="0018091F"/>
    <w:rsid w:val="00180C94"/>
    <w:rsid w:val="001820D6"/>
    <w:rsid w:val="00182FE7"/>
    <w:rsid w:val="00185274"/>
    <w:rsid w:val="001853F8"/>
    <w:rsid w:val="001855DF"/>
    <w:rsid w:val="00186A58"/>
    <w:rsid w:val="00191BD0"/>
    <w:rsid w:val="001933F4"/>
    <w:rsid w:val="00194ACA"/>
    <w:rsid w:val="00194F2E"/>
    <w:rsid w:val="001950C8"/>
    <w:rsid w:val="00195576"/>
    <w:rsid w:val="00195857"/>
    <w:rsid w:val="001969B2"/>
    <w:rsid w:val="001969F1"/>
    <w:rsid w:val="001970A7"/>
    <w:rsid w:val="00197257"/>
    <w:rsid w:val="00197263"/>
    <w:rsid w:val="001976DE"/>
    <w:rsid w:val="00197E99"/>
    <w:rsid w:val="001A0007"/>
    <w:rsid w:val="001A149D"/>
    <w:rsid w:val="001A2565"/>
    <w:rsid w:val="001A26DF"/>
    <w:rsid w:val="001A2E2E"/>
    <w:rsid w:val="001A30B1"/>
    <w:rsid w:val="001A3A27"/>
    <w:rsid w:val="001A464C"/>
    <w:rsid w:val="001A470A"/>
    <w:rsid w:val="001A5B44"/>
    <w:rsid w:val="001A61D7"/>
    <w:rsid w:val="001A658B"/>
    <w:rsid w:val="001A7F6F"/>
    <w:rsid w:val="001B0ED8"/>
    <w:rsid w:val="001B1839"/>
    <w:rsid w:val="001B19DF"/>
    <w:rsid w:val="001B1A06"/>
    <w:rsid w:val="001B2A7E"/>
    <w:rsid w:val="001B344E"/>
    <w:rsid w:val="001B40BE"/>
    <w:rsid w:val="001B43DC"/>
    <w:rsid w:val="001B4CC1"/>
    <w:rsid w:val="001B55CF"/>
    <w:rsid w:val="001B56B0"/>
    <w:rsid w:val="001B57EE"/>
    <w:rsid w:val="001B6A28"/>
    <w:rsid w:val="001B6F71"/>
    <w:rsid w:val="001B7A99"/>
    <w:rsid w:val="001B7B66"/>
    <w:rsid w:val="001C0CD5"/>
    <w:rsid w:val="001C1447"/>
    <w:rsid w:val="001C1F6D"/>
    <w:rsid w:val="001C2EAE"/>
    <w:rsid w:val="001C3037"/>
    <w:rsid w:val="001C306F"/>
    <w:rsid w:val="001C32FE"/>
    <w:rsid w:val="001C333B"/>
    <w:rsid w:val="001C4C7E"/>
    <w:rsid w:val="001C5715"/>
    <w:rsid w:val="001C6368"/>
    <w:rsid w:val="001C67FD"/>
    <w:rsid w:val="001C6996"/>
    <w:rsid w:val="001C6ACF"/>
    <w:rsid w:val="001C749D"/>
    <w:rsid w:val="001C74D1"/>
    <w:rsid w:val="001D19D2"/>
    <w:rsid w:val="001D1D18"/>
    <w:rsid w:val="001D2F3F"/>
    <w:rsid w:val="001D2F5E"/>
    <w:rsid w:val="001D3F9A"/>
    <w:rsid w:val="001D46CF"/>
    <w:rsid w:val="001D4ADE"/>
    <w:rsid w:val="001D4E03"/>
    <w:rsid w:val="001D55B0"/>
    <w:rsid w:val="001D59C6"/>
    <w:rsid w:val="001D5DA6"/>
    <w:rsid w:val="001D6ABE"/>
    <w:rsid w:val="001E011C"/>
    <w:rsid w:val="001E10FA"/>
    <w:rsid w:val="001E1373"/>
    <w:rsid w:val="001E1ECE"/>
    <w:rsid w:val="001E2199"/>
    <w:rsid w:val="001E36DB"/>
    <w:rsid w:val="001E3BBD"/>
    <w:rsid w:val="001E3E34"/>
    <w:rsid w:val="001E455F"/>
    <w:rsid w:val="001E5CA5"/>
    <w:rsid w:val="001E5E69"/>
    <w:rsid w:val="001E621D"/>
    <w:rsid w:val="001E765B"/>
    <w:rsid w:val="001E7B53"/>
    <w:rsid w:val="001F0A04"/>
    <w:rsid w:val="001F19A8"/>
    <w:rsid w:val="001F1DCC"/>
    <w:rsid w:val="001F29FA"/>
    <w:rsid w:val="001F3676"/>
    <w:rsid w:val="001F4D17"/>
    <w:rsid w:val="001F51B4"/>
    <w:rsid w:val="001F5F62"/>
    <w:rsid w:val="001F6A46"/>
    <w:rsid w:val="001F7ED7"/>
    <w:rsid w:val="0020174B"/>
    <w:rsid w:val="002026F0"/>
    <w:rsid w:val="002034AA"/>
    <w:rsid w:val="00203CC7"/>
    <w:rsid w:val="00203DA6"/>
    <w:rsid w:val="00203ECA"/>
    <w:rsid w:val="00203FB7"/>
    <w:rsid w:val="002042E3"/>
    <w:rsid w:val="00204585"/>
    <w:rsid w:val="002048FA"/>
    <w:rsid w:val="00204E65"/>
    <w:rsid w:val="002058E3"/>
    <w:rsid w:val="00205AFD"/>
    <w:rsid w:val="002061F3"/>
    <w:rsid w:val="00207E39"/>
    <w:rsid w:val="002103A3"/>
    <w:rsid w:val="00210592"/>
    <w:rsid w:val="00210F2E"/>
    <w:rsid w:val="002113EF"/>
    <w:rsid w:val="002117D6"/>
    <w:rsid w:val="00212B03"/>
    <w:rsid w:val="0021350D"/>
    <w:rsid w:val="00213B29"/>
    <w:rsid w:val="002149FE"/>
    <w:rsid w:val="00215DCB"/>
    <w:rsid w:val="0021603C"/>
    <w:rsid w:val="00216854"/>
    <w:rsid w:val="00216EAC"/>
    <w:rsid w:val="00217349"/>
    <w:rsid w:val="00221064"/>
    <w:rsid w:val="00222ECF"/>
    <w:rsid w:val="002241D1"/>
    <w:rsid w:val="00224289"/>
    <w:rsid w:val="0022454C"/>
    <w:rsid w:val="00224B4F"/>
    <w:rsid w:val="00224D01"/>
    <w:rsid w:val="00224FBC"/>
    <w:rsid w:val="002253B3"/>
    <w:rsid w:val="00226171"/>
    <w:rsid w:val="00227719"/>
    <w:rsid w:val="00227A6C"/>
    <w:rsid w:val="00227DA6"/>
    <w:rsid w:val="00230DEE"/>
    <w:rsid w:val="00231E1C"/>
    <w:rsid w:val="00232865"/>
    <w:rsid w:val="00233521"/>
    <w:rsid w:val="00233FCF"/>
    <w:rsid w:val="00234046"/>
    <w:rsid w:val="00235728"/>
    <w:rsid w:val="00236325"/>
    <w:rsid w:val="0023728B"/>
    <w:rsid w:val="00237716"/>
    <w:rsid w:val="00237917"/>
    <w:rsid w:val="00241139"/>
    <w:rsid w:val="0024198D"/>
    <w:rsid w:val="00242366"/>
    <w:rsid w:val="00243022"/>
    <w:rsid w:val="00243503"/>
    <w:rsid w:val="00243E82"/>
    <w:rsid w:val="0024479D"/>
    <w:rsid w:val="00245158"/>
    <w:rsid w:val="0024540E"/>
    <w:rsid w:val="00245AA3"/>
    <w:rsid w:val="002471BB"/>
    <w:rsid w:val="00250516"/>
    <w:rsid w:val="00250E8C"/>
    <w:rsid w:val="00251985"/>
    <w:rsid w:val="00251C73"/>
    <w:rsid w:val="00252113"/>
    <w:rsid w:val="002528DF"/>
    <w:rsid w:val="00252C8B"/>
    <w:rsid w:val="00252DBA"/>
    <w:rsid w:val="00252F9F"/>
    <w:rsid w:val="0025342A"/>
    <w:rsid w:val="00253E27"/>
    <w:rsid w:val="0025483D"/>
    <w:rsid w:val="00254A73"/>
    <w:rsid w:val="00254C5E"/>
    <w:rsid w:val="0025592E"/>
    <w:rsid w:val="00255964"/>
    <w:rsid w:val="00255C5C"/>
    <w:rsid w:val="0025600D"/>
    <w:rsid w:val="00256DB5"/>
    <w:rsid w:val="00257397"/>
    <w:rsid w:val="00257BE6"/>
    <w:rsid w:val="00260674"/>
    <w:rsid w:val="00261EFC"/>
    <w:rsid w:val="002621C9"/>
    <w:rsid w:val="00263339"/>
    <w:rsid w:val="00263FBF"/>
    <w:rsid w:val="00263FC4"/>
    <w:rsid w:val="002643FD"/>
    <w:rsid w:val="0026440E"/>
    <w:rsid w:val="00264816"/>
    <w:rsid w:val="00264A2B"/>
    <w:rsid w:val="00264EEA"/>
    <w:rsid w:val="0026601A"/>
    <w:rsid w:val="00266959"/>
    <w:rsid w:val="0027019A"/>
    <w:rsid w:val="002703FA"/>
    <w:rsid w:val="00270EA2"/>
    <w:rsid w:val="002712C0"/>
    <w:rsid w:val="00271723"/>
    <w:rsid w:val="00271953"/>
    <w:rsid w:val="00273517"/>
    <w:rsid w:val="002737F3"/>
    <w:rsid w:val="002743B3"/>
    <w:rsid w:val="00274D3C"/>
    <w:rsid w:val="00274EE4"/>
    <w:rsid w:val="0027525B"/>
    <w:rsid w:val="0027547C"/>
    <w:rsid w:val="00276549"/>
    <w:rsid w:val="0027741A"/>
    <w:rsid w:val="00277A21"/>
    <w:rsid w:val="002801AF"/>
    <w:rsid w:val="00280DD6"/>
    <w:rsid w:val="00281416"/>
    <w:rsid w:val="00281C48"/>
    <w:rsid w:val="00281DCC"/>
    <w:rsid w:val="0028208C"/>
    <w:rsid w:val="00282F96"/>
    <w:rsid w:val="0028374C"/>
    <w:rsid w:val="00283A18"/>
    <w:rsid w:val="00283F2D"/>
    <w:rsid w:val="00284665"/>
    <w:rsid w:val="002859AD"/>
    <w:rsid w:val="00286417"/>
    <w:rsid w:val="00286707"/>
    <w:rsid w:val="00286C24"/>
    <w:rsid w:val="002879EB"/>
    <w:rsid w:val="002904B0"/>
    <w:rsid w:val="00291475"/>
    <w:rsid w:val="00291D82"/>
    <w:rsid w:val="002925AF"/>
    <w:rsid w:val="002926F2"/>
    <w:rsid w:val="0029357A"/>
    <w:rsid w:val="002936E6"/>
    <w:rsid w:val="00295A46"/>
    <w:rsid w:val="002963B1"/>
    <w:rsid w:val="002965E5"/>
    <w:rsid w:val="002973E1"/>
    <w:rsid w:val="00297648"/>
    <w:rsid w:val="002A08E8"/>
    <w:rsid w:val="002A08FA"/>
    <w:rsid w:val="002A2996"/>
    <w:rsid w:val="002A3463"/>
    <w:rsid w:val="002A407B"/>
    <w:rsid w:val="002A575D"/>
    <w:rsid w:val="002A5CE3"/>
    <w:rsid w:val="002A72DE"/>
    <w:rsid w:val="002B0C4B"/>
    <w:rsid w:val="002B1475"/>
    <w:rsid w:val="002B1665"/>
    <w:rsid w:val="002B31D1"/>
    <w:rsid w:val="002B38B0"/>
    <w:rsid w:val="002B3CB6"/>
    <w:rsid w:val="002B3F7D"/>
    <w:rsid w:val="002B4392"/>
    <w:rsid w:val="002B4B03"/>
    <w:rsid w:val="002B5C0A"/>
    <w:rsid w:val="002B5EFA"/>
    <w:rsid w:val="002B5FAC"/>
    <w:rsid w:val="002B7479"/>
    <w:rsid w:val="002B7D0E"/>
    <w:rsid w:val="002C028C"/>
    <w:rsid w:val="002C04BA"/>
    <w:rsid w:val="002C0BF3"/>
    <w:rsid w:val="002C17F6"/>
    <w:rsid w:val="002C28EE"/>
    <w:rsid w:val="002C29DB"/>
    <w:rsid w:val="002C3721"/>
    <w:rsid w:val="002C3ACD"/>
    <w:rsid w:val="002C4B88"/>
    <w:rsid w:val="002C6898"/>
    <w:rsid w:val="002C6B59"/>
    <w:rsid w:val="002C761D"/>
    <w:rsid w:val="002C7C1B"/>
    <w:rsid w:val="002C7DD3"/>
    <w:rsid w:val="002D0CB1"/>
    <w:rsid w:val="002D13F2"/>
    <w:rsid w:val="002D19A3"/>
    <w:rsid w:val="002D1AE2"/>
    <w:rsid w:val="002D2185"/>
    <w:rsid w:val="002D29F5"/>
    <w:rsid w:val="002D41F7"/>
    <w:rsid w:val="002D46E8"/>
    <w:rsid w:val="002D4DD0"/>
    <w:rsid w:val="002D5E5B"/>
    <w:rsid w:val="002D5F00"/>
    <w:rsid w:val="002D66A3"/>
    <w:rsid w:val="002D6AFF"/>
    <w:rsid w:val="002D6F1B"/>
    <w:rsid w:val="002D73E3"/>
    <w:rsid w:val="002D7D53"/>
    <w:rsid w:val="002E075D"/>
    <w:rsid w:val="002E0FBE"/>
    <w:rsid w:val="002E1382"/>
    <w:rsid w:val="002E1706"/>
    <w:rsid w:val="002E1A63"/>
    <w:rsid w:val="002E2A78"/>
    <w:rsid w:val="002E3B86"/>
    <w:rsid w:val="002E41D6"/>
    <w:rsid w:val="002E4439"/>
    <w:rsid w:val="002E44DA"/>
    <w:rsid w:val="002E4691"/>
    <w:rsid w:val="002E56C6"/>
    <w:rsid w:val="002E5F37"/>
    <w:rsid w:val="002E5F9D"/>
    <w:rsid w:val="002E6F28"/>
    <w:rsid w:val="002E70C6"/>
    <w:rsid w:val="002E7276"/>
    <w:rsid w:val="002E781C"/>
    <w:rsid w:val="002E7E1C"/>
    <w:rsid w:val="002F020A"/>
    <w:rsid w:val="002F04F8"/>
    <w:rsid w:val="002F1607"/>
    <w:rsid w:val="002F223B"/>
    <w:rsid w:val="002F4163"/>
    <w:rsid w:val="002F5EDD"/>
    <w:rsid w:val="002F666E"/>
    <w:rsid w:val="002F6FFE"/>
    <w:rsid w:val="002F722F"/>
    <w:rsid w:val="002F7771"/>
    <w:rsid w:val="002F7DFF"/>
    <w:rsid w:val="003005D7"/>
    <w:rsid w:val="003015F2"/>
    <w:rsid w:val="003018AA"/>
    <w:rsid w:val="00302BBA"/>
    <w:rsid w:val="00302C14"/>
    <w:rsid w:val="003055B9"/>
    <w:rsid w:val="003058A3"/>
    <w:rsid w:val="00305B05"/>
    <w:rsid w:val="003069E6"/>
    <w:rsid w:val="00306A66"/>
    <w:rsid w:val="0030795D"/>
    <w:rsid w:val="00307F7A"/>
    <w:rsid w:val="00307FB6"/>
    <w:rsid w:val="00310050"/>
    <w:rsid w:val="003100A9"/>
    <w:rsid w:val="00310308"/>
    <w:rsid w:val="00310633"/>
    <w:rsid w:val="00310EE7"/>
    <w:rsid w:val="003129DF"/>
    <w:rsid w:val="00312A70"/>
    <w:rsid w:val="00312B5F"/>
    <w:rsid w:val="00312C0D"/>
    <w:rsid w:val="0031428F"/>
    <w:rsid w:val="0031480C"/>
    <w:rsid w:val="00315374"/>
    <w:rsid w:val="003161CA"/>
    <w:rsid w:val="003165B6"/>
    <w:rsid w:val="00316674"/>
    <w:rsid w:val="00316724"/>
    <w:rsid w:val="003176D7"/>
    <w:rsid w:val="00320019"/>
    <w:rsid w:val="003210C3"/>
    <w:rsid w:val="00321684"/>
    <w:rsid w:val="00321E0E"/>
    <w:rsid w:val="003227BC"/>
    <w:rsid w:val="00323CE9"/>
    <w:rsid w:val="00324F3A"/>
    <w:rsid w:val="003255E4"/>
    <w:rsid w:val="003311AB"/>
    <w:rsid w:val="003316D5"/>
    <w:rsid w:val="003320FA"/>
    <w:rsid w:val="0033249C"/>
    <w:rsid w:val="00332690"/>
    <w:rsid w:val="00332E64"/>
    <w:rsid w:val="00332F13"/>
    <w:rsid w:val="003331D2"/>
    <w:rsid w:val="00333308"/>
    <w:rsid w:val="00333B89"/>
    <w:rsid w:val="0033461C"/>
    <w:rsid w:val="00335195"/>
    <w:rsid w:val="003355B1"/>
    <w:rsid w:val="00336698"/>
    <w:rsid w:val="00336AFD"/>
    <w:rsid w:val="00336CBA"/>
    <w:rsid w:val="00336DFC"/>
    <w:rsid w:val="0033742E"/>
    <w:rsid w:val="00337A0A"/>
    <w:rsid w:val="00342C9D"/>
    <w:rsid w:val="0034316F"/>
    <w:rsid w:val="00343A1F"/>
    <w:rsid w:val="00343B60"/>
    <w:rsid w:val="00343C57"/>
    <w:rsid w:val="00344B4A"/>
    <w:rsid w:val="00346B1E"/>
    <w:rsid w:val="00347669"/>
    <w:rsid w:val="00347B05"/>
    <w:rsid w:val="00351039"/>
    <w:rsid w:val="00351435"/>
    <w:rsid w:val="00351944"/>
    <w:rsid w:val="00351CB2"/>
    <w:rsid w:val="00352876"/>
    <w:rsid w:val="00353ABE"/>
    <w:rsid w:val="00355989"/>
    <w:rsid w:val="00356105"/>
    <w:rsid w:val="0035641D"/>
    <w:rsid w:val="0035644A"/>
    <w:rsid w:val="00356A91"/>
    <w:rsid w:val="0035769A"/>
    <w:rsid w:val="00360D09"/>
    <w:rsid w:val="00361E27"/>
    <w:rsid w:val="003620A1"/>
    <w:rsid w:val="00364EA2"/>
    <w:rsid w:val="00365492"/>
    <w:rsid w:val="00365F0D"/>
    <w:rsid w:val="003664B9"/>
    <w:rsid w:val="00366C60"/>
    <w:rsid w:val="003673C4"/>
    <w:rsid w:val="003675E2"/>
    <w:rsid w:val="00367BF7"/>
    <w:rsid w:val="00370CDC"/>
    <w:rsid w:val="00370EB4"/>
    <w:rsid w:val="00371D8B"/>
    <w:rsid w:val="00372538"/>
    <w:rsid w:val="0037259A"/>
    <w:rsid w:val="003725E4"/>
    <w:rsid w:val="0037455A"/>
    <w:rsid w:val="0037539F"/>
    <w:rsid w:val="00376D52"/>
    <w:rsid w:val="00377127"/>
    <w:rsid w:val="0038132A"/>
    <w:rsid w:val="00381D8A"/>
    <w:rsid w:val="00382AD3"/>
    <w:rsid w:val="00383202"/>
    <w:rsid w:val="003842BC"/>
    <w:rsid w:val="003842D1"/>
    <w:rsid w:val="003847EA"/>
    <w:rsid w:val="003856A2"/>
    <w:rsid w:val="003863B7"/>
    <w:rsid w:val="003867EA"/>
    <w:rsid w:val="0038799A"/>
    <w:rsid w:val="00387D11"/>
    <w:rsid w:val="0039023E"/>
    <w:rsid w:val="003904B2"/>
    <w:rsid w:val="00390B48"/>
    <w:rsid w:val="00390DAA"/>
    <w:rsid w:val="00390DB8"/>
    <w:rsid w:val="00393D93"/>
    <w:rsid w:val="003942C5"/>
    <w:rsid w:val="00394502"/>
    <w:rsid w:val="00394D14"/>
    <w:rsid w:val="00394EDE"/>
    <w:rsid w:val="003951C7"/>
    <w:rsid w:val="003957A2"/>
    <w:rsid w:val="00396202"/>
    <w:rsid w:val="00396431"/>
    <w:rsid w:val="00397A42"/>
    <w:rsid w:val="003A1037"/>
    <w:rsid w:val="003A2822"/>
    <w:rsid w:val="003A2FA9"/>
    <w:rsid w:val="003A3180"/>
    <w:rsid w:val="003A39C5"/>
    <w:rsid w:val="003A403C"/>
    <w:rsid w:val="003A411B"/>
    <w:rsid w:val="003A48D1"/>
    <w:rsid w:val="003A564B"/>
    <w:rsid w:val="003A58E0"/>
    <w:rsid w:val="003A63DB"/>
    <w:rsid w:val="003A7BBD"/>
    <w:rsid w:val="003B1B06"/>
    <w:rsid w:val="003B26CD"/>
    <w:rsid w:val="003B2A8A"/>
    <w:rsid w:val="003B2DC0"/>
    <w:rsid w:val="003B33DF"/>
    <w:rsid w:val="003B4047"/>
    <w:rsid w:val="003B444E"/>
    <w:rsid w:val="003B4FE1"/>
    <w:rsid w:val="003B53F1"/>
    <w:rsid w:val="003B5A90"/>
    <w:rsid w:val="003B5D94"/>
    <w:rsid w:val="003B69AC"/>
    <w:rsid w:val="003B6A38"/>
    <w:rsid w:val="003B71E8"/>
    <w:rsid w:val="003B7CF6"/>
    <w:rsid w:val="003C088F"/>
    <w:rsid w:val="003C1DD6"/>
    <w:rsid w:val="003C1EB5"/>
    <w:rsid w:val="003C47B0"/>
    <w:rsid w:val="003C4914"/>
    <w:rsid w:val="003C4F7A"/>
    <w:rsid w:val="003C589F"/>
    <w:rsid w:val="003C5DFD"/>
    <w:rsid w:val="003C65C1"/>
    <w:rsid w:val="003C78BA"/>
    <w:rsid w:val="003C7CEA"/>
    <w:rsid w:val="003D0719"/>
    <w:rsid w:val="003D13AA"/>
    <w:rsid w:val="003D1BDF"/>
    <w:rsid w:val="003D1C22"/>
    <w:rsid w:val="003D2514"/>
    <w:rsid w:val="003D2BD0"/>
    <w:rsid w:val="003D47AB"/>
    <w:rsid w:val="003D4A5F"/>
    <w:rsid w:val="003D6539"/>
    <w:rsid w:val="003D6D76"/>
    <w:rsid w:val="003D75C6"/>
    <w:rsid w:val="003E0AC4"/>
    <w:rsid w:val="003E0CBE"/>
    <w:rsid w:val="003E174D"/>
    <w:rsid w:val="003E1B1D"/>
    <w:rsid w:val="003E2392"/>
    <w:rsid w:val="003E2629"/>
    <w:rsid w:val="003E282D"/>
    <w:rsid w:val="003E29BC"/>
    <w:rsid w:val="003E2A80"/>
    <w:rsid w:val="003E3DE4"/>
    <w:rsid w:val="003E44DF"/>
    <w:rsid w:val="003E577A"/>
    <w:rsid w:val="003E58DF"/>
    <w:rsid w:val="003E7AD9"/>
    <w:rsid w:val="003E7CF3"/>
    <w:rsid w:val="003E7E5F"/>
    <w:rsid w:val="003E7F1F"/>
    <w:rsid w:val="003F0290"/>
    <w:rsid w:val="003F0496"/>
    <w:rsid w:val="003F08E9"/>
    <w:rsid w:val="003F0FA4"/>
    <w:rsid w:val="003F186D"/>
    <w:rsid w:val="003F1BB3"/>
    <w:rsid w:val="003F1C6C"/>
    <w:rsid w:val="003F1D5D"/>
    <w:rsid w:val="003F2ED7"/>
    <w:rsid w:val="003F34C7"/>
    <w:rsid w:val="003F3F76"/>
    <w:rsid w:val="003F5015"/>
    <w:rsid w:val="003F549E"/>
    <w:rsid w:val="003F60A5"/>
    <w:rsid w:val="003F6C87"/>
    <w:rsid w:val="003F7EEE"/>
    <w:rsid w:val="003F7EF3"/>
    <w:rsid w:val="004007BD"/>
    <w:rsid w:val="00400C5A"/>
    <w:rsid w:val="00400C8B"/>
    <w:rsid w:val="0040176E"/>
    <w:rsid w:val="00401F44"/>
    <w:rsid w:val="0040203E"/>
    <w:rsid w:val="0040261E"/>
    <w:rsid w:val="0040297D"/>
    <w:rsid w:val="00402DDE"/>
    <w:rsid w:val="00407276"/>
    <w:rsid w:val="004109CE"/>
    <w:rsid w:val="00410E2D"/>
    <w:rsid w:val="004115C1"/>
    <w:rsid w:val="00412538"/>
    <w:rsid w:val="00414D01"/>
    <w:rsid w:val="0041505F"/>
    <w:rsid w:val="004152EC"/>
    <w:rsid w:val="0041539D"/>
    <w:rsid w:val="00415A65"/>
    <w:rsid w:val="00415E74"/>
    <w:rsid w:val="00416AE5"/>
    <w:rsid w:val="004208AD"/>
    <w:rsid w:val="00421407"/>
    <w:rsid w:val="004221BF"/>
    <w:rsid w:val="004232F5"/>
    <w:rsid w:val="00424C01"/>
    <w:rsid w:val="00424CC2"/>
    <w:rsid w:val="004264C4"/>
    <w:rsid w:val="00426625"/>
    <w:rsid w:val="0042663D"/>
    <w:rsid w:val="004269DB"/>
    <w:rsid w:val="00426D39"/>
    <w:rsid w:val="004279FF"/>
    <w:rsid w:val="00427AD6"/>
    <w:rsid w:val="00427F8B"/>
    <w:rsid w:val="00431227"/>
    <w:rsid w:val="0043128E"/>
    <w:rsid w:val="0043208B"/>
    <w:rsid w:val="004329D6"/>
    <w:rsid w:val="00432EC2"/>
    <w:rsid w:val="004339CC"/>
    <w:rsid w:val="00434119"/>
    <w:rsid w:val="0043450C"/>
    <w:rsid w:val="00434DC4"/>
    <w:rsid w:val="00436D9B"/>
    <w:rsid w:val="00437ADD"/>
    <w:rsid w:val="00437B9F"/>
    <w:rsid w:val="00437CBC"/>
    <w:rsid w:val="00437E7C"/>
    <w:rsid w:val="00437FB5"/>
    <w:rsid w:val="00440318"/>
    <w:rsid w:val="00441345"/>
    <w:rsid w:val="00442055"/>
    <w:rsid w:val="00442A3C"/>
    <w:rsid w:val="0044308C"/>
    <w:rsid w:val="00443599"/>
    <w:rsid w:val="00443F65"/>
    <w:rsid w:val="00445802"/>
    <w:rsid w:val="00446DFA"/>
    <w:rsid w:val="0044711C"/>
    <w:rsid w:val="004471BC"/>
    <w:rsid w:val="0044725A"/>
    <w:rsid w:val="004477C8"/>
    <w:rsid w:val="00451CFA"/>
    <w:rsid w:val="00451E75"/>
    <w:rsid w:val="00452F5F"/>
    <w:rsid w:val="00453541"/>
    <w:rsid w:val="00453A41"/>
    <w:rsid w:val="00453CA9"/>
    <w:rsid w:val="00454299"/>
    <w:rsid w:val="00455CCA"/>
    <w:rsid w:val="00456EE0"/>
    <w:rsid w:val="0046091A"/>
    <w:rsid w:val="00460955"/>
    <w:rsid w:val="004615C1"/>
    <w:rsid w:val="00461A50"/>
    <w:rsid w:val="00462CAB"/>
    <w:rsid w:val="00463801"/>
    <w:rsid w:val="0046435D"/>
    <w:rsid w:val="00464936"/>
    <w:rsid w:val="00464AE4"/>
    <w:rsid w:val="004659EF"/>
    <w:rsid w:val="00465CF5"/>
    <w:rsid w:val="00466B69"/>
    <w:rsid w:val="0046769E"/>
    <w:rsid w:val="00467D43"/>
    <w:rsid w:val="0047097F"/>
    <w:rsid w:val="0047117F"/>
    <w:rsid w:val="00471230"/>
    <w:rsid w:val="004719DC"/>
    <w:rsid w:val="004719E3"/>
    <w:rsid w:val="00472002"/>
    <w:rsid w:val="004725A0"/>
    <w:rsid w:val="004725C6"/>
    <w:rsid w:val="0047525D"/>
    <w:rsid w:val="004762DC"/>
    <w:rsid w:val="00476319"/>
    <w:rsid w:val="004770E7"/>
    <w:rsid w:val="004772EF"/>
    <w:rsid w:val="00480AC4"/>
    <w:rsid w:val="00481911"/>
    <w:rsid w:val="00482055"/>
    <w:rsid w:val="00483126"/>
    <w:rsid w:val="00487BDE"/>
    <w:rsid w:val="00487ED7"/>
    <w:rsid w:val="00487F4D"/>
    <w:rsid w:val="004916FB"/>
    <w:rsid w:val="00491B5E"/>
    <w:rsid w:val="004923C8"/>
    <w:rsid w:val="00492A9B"/>
    <w:rsid w:val="00492CB3"/>
    <w:rsid w:val="00493DE9"/>
    <w:rsid w:val="004949D3"/>
    <w:rsid w:val="00494CDD"/>
    <w:rsid w:val="0049538F"/>
    <w:rsid w:val="00496D6D"/>
    <w:rsid w:val="004971D8"/>
    <w:rsid w:val="00497230"/>
    <w:rsid w:val="004A011E"/>
    <w:rsid w:val="004A0142"/>
    <w:rsid w:val="004A156E"/>
    <w:rsid w:val="004A1DDA"/>
    <w:rsid w:val="004A1E75"/>
    <w:rsid w:val="004A1EF8"/>
    <w:rsid w:val="004A2891"/>
    <w:rsid w:val="004A29EA"/>
    <w:rsid w:val="004A34B7"/>
    <w:rsid w:val="004A4175"/>
    <w:rsid w:val="004A4C9D"/>
    <w:rsid w:val="004A5BE1"/>
    <w:rsid w:val="004A6418"/>
    <w:rsid w:val="004A6B95"/>
    <w:rsid w:val="004B0FFF"/>
    <w:rsid w:val="004B1DA4"/>
    <w:rsid w:val="004B2099"/>
    <w:rsid w:val="004B25CA"/>
    <w:rsid w:val="004B2AE1"/>
    <w:rsid w:val="004B34A7"/>
    <w:rsid w:val="004B382B"/>
    <w:rsid w:val="004B4DBE"/>
    <w:rsid w:val="004B5C09"/>
    <w:rsid w:val="004B6A1D"/>
    <w:rsid w:val="004B6B85"/>
    <w:rsid w:val="004B6BB2"/>
    <w:rsid w:val="004C0F04"/>
    <w:rsid w:val="004C1697"/>
    <w:rsid w:val="004C1968"/>
    <w:rsid w:val="004C1C46"/>
    <w:rsid w:val="004C243A"/>
    <w:rsid w:val="004C2939"/>
    <w:rsid w:val="004C2F32"/>
    <w:rsid w:val="004C2FCE"/>
    <w:rsid w:val="004C3BF1"/>
    <w:rsid w:val="004C5520"/>
    <w:rsid w:val="004C6B93"/>
    <w:rsid w:val="004C7001"/>
    <w:rsid w:val="004C7957"/>
    <w:rsid w:val="004C7A0D"/>
    <w:rsid w:val="004D08F0"/>
    <w:rsid w:val="004D13BA"/>
    <w:rsid w:val="004D2219"/>
    <w:rsid w:val="004D2559"/>
    <w:rsid w:val="004D2DC9"/>
    <w:rsid w:val="004D3AA7"/>
    <w:rsid w:val="004D3C4E"/>
    <w:rsid w:val="004D3E12"/>
    <w:rsid w:val="004D49D6"/>
    <w:rsid w:val="004D57EF"/>
    <w:rsid w:val="004D6D00"/>
    <w:rsid w:val="004E0292"/>
    <w:rsid w:val="004E0CE8"/>
    <w:rsid w:val="004E1058"/>
    <w:rsid w:val="004E140C"/>
    <w:rsid w:val="004E1725"/>
    <w:rsid w:val="004E1D29"/>
    <w:rsid w:val="004E1EB1"/>
    <w:rsid w:val="004E3E4C"/>
    <w:rsid w:val="004E4403"/>
    <w:rsid w:val="004E528E"/>
    <w:rsid w:val="004E6EF3"/>
    <w:rsid w:val="004E74A0"/>
    <w:rsid w:val="004E7850"/>
    <w:rsid w:val="004F0523"/>
    <w:rsid w:val="004F089D"/>
    <w:rsid w:val="004F2A80"/>
    <w:rsid w:val="004F2EBF"/>
    <w:rsid w:val="004F468D"/>
    <w:rsid w:val="004F5322"/>
    <w:rsid w:val="004F5A60"/>
    <w:rsid w:val="004F6B47"/>
    <w:rsid w:val="00500AF2"/>
    <w:rsid w:val="00501EA4"/>
    <w:rsid w:val="00503354"/>
    <w:rsid w:val="00503A1E"/>
    <w:rsid w:val="00503FB0"/>
    <w:rsid w:val="00504A36"/>
    <w:rsid w:val="00504A5E"/>
    <w:rsid w:val="00505EEB"/>
    <w:rsid w:val="00510812"/>
    <w:rsid w:val="00510F45"/>
    <w:rsid w:val="00511052"/>
    <w:rsid w:val="0051131A"/>
    <w:rsid w:val="0051260F"/>
    <w:rsid w:val="00514A91"/>
    <w:rsid w:val="00516DE4"/>
    <w:rsid w:val="005170B2"/>
    <w:rsid w:val="00517378"/>
    <w:rsid w:val="00520014"/>
    <w:rsid w:val="00520BCB"/>
    <w:rsid w:val="00521423"/>
    <w:rsid w:val="005225C0"/>
    <w:rsid w:val="005230B1"/>
    <w:rsid w:val="005241C4"/>
    <w:rsid w:val="00524442"/>
    <w:rsid w:val="00524BB3"/>
    <w:rsid w:val="005250E1"/>
    <w:rsid w:val="005260AA"/>
    <w:rsid w:val="00526814"/>
    <w:rsid w:val="00526A7A"/>
    <w:rsid w:val="00526AA1"/>
    <w:rsid w:val="005307C1"/>
    <w:rsid w:val="00530B30"/>
    <w:rsid w:val="00530FEF"/>
    <w:rsid w:val="005323BC"/>
    <w:rsid w:val="00532518"/>
    <w:rsid w:val="00533A91"/>
    <w:rsid w:val="00533D31"/>
    <w:rsid w:val="00534DC8"/>
    <w:rsid w:val="005354BE"/>
    <w:rsid w:val="0053625C"/>
    <w:rsid w:val="0053737C"/>
    <w:rsid w:val="005405DB"/>
    <w:rsid w:val="00540BFC"/>
    <w:rsid w:val="005410F6"/>
    <w:rsid w:val="00541C6D"/>
    <w:rsid w:val="00542238"/>
    <w:rsid w:val="00543DFD"/>
    <w:rsid w:val="00544AE0"/>
    <w:rsid w:val="005455A5"/>
    <w:rsid w:val="00545A39"/>
    <w:rsid w:val="00546843"/>
    <w:rsid w:val="005478C8"/>
    <w:rsid w:val="0055040E"/>
    <w:rsid w:val="005506A4"/>
    <w:rsid w:val="00551174"/>
    <w:rsid w:val="00553419"/>
    <w:rsid w:val="005534C7"/>
    <w:rsid w:val="0055354D"/>
    <w:rsid w:val="00553DF7"/>
    <w:rsid w:val="00554398"/>
    <w:rsid w:val="005545AB"/>
    <w:rsid w:val="00554F9E"/>
    <w:rsid w:val="005551C5"/>
    <w:rsid w:val="00555246"/>
    <w:rsid w:val="0055644E"/>
    <w:rsid w:val="00560C4E"/>
    <w:rsid w:val="00560F8A"/>
    <w:rsid w:val="005611C4"/>
    <w:rsid w:val="00562271"/>
    <w:rsid w:val="0056230E"/>
    <w:rsid w:val="005631A3"/>
    <w:rsid w:val="00563775"/>
    <w:rsid w:val="00563F77"/>
    <w:rsid w:val="005642AC"/>
    <w:rsid w:val="00565C3D"/>
    <w:rsid w:val="00565D2B"/>
    <w:rsid w:val="005660A8"/>
    <w:rsid w:val="0056619A"/>
    <w:rsid w:val="0056669C"/>
    <w:rsid w:val="005669D8"/>
    <w:rsid w:val="00566B04"/>
    <w:rsid w:val="00567AED"/>
    <w:rsid w:val="00567C69"/>
    <w:rsid w:val="00567D95"/>
    <w:rsid w:val="00570A79"/>
    <w:rsid w:val="00571636"/>
    <w:rsid w:val="0057245D"/>
    <w:rsid w:val="005732EE"/>
    <w:rsid w:val="0057356E"/>
    <w:rsid w:val="00574815"/>
    <w:rsid w:val="005749B5"/>
    <w:rsid w:val="00574F8E"/>
    <w:rsid w:val="00575CA1"/>
    <w:rsid w:val="00575E25"/>
    <w:rsid w:val="0057777B"/>
    <w:rsid w:val="00577AEB"/>
    <w:rsid w:val="00577C52"/>
    <w:rsid w:val="0058011E"/>
    <w:rsid w:val="005816B1"/>
    <w:rsid w:val="00581700"/>
    <w:rsid w:val="005826FC"/>
    <w:rsid w:val="00583259"/>
    <w:rsid w:val="00583AF5"/>
    <w:rsid w:val="00583C18"/>
    <w:rsid w:val="00584181"/>
    <w:rsid w:val="005844F3"/>
    <w:rsid w:val="0058509B"/>
    <w:rsid w:val="0058552C"/>
    <w:rsid w:val="005860EE"/>
    <w:rsid w:val="005861A8"/>
    <w:rsid w:val="0058759F"/>
    <w:rsid w:val="0059139B"/>
    <w:rsid w:val="0059187C"/>
    <w:rsid w:val="00591C17"/>
    <w:rsid w:val="00591EEA"/>
    <w:rsid w:val="00592567"/>
    <w:rsid w:val="00592AFB"/>
    <w:rsid w:val="005936C3"/>
    <w:rsid w:val="00593A32"/>
    <w:rsid w:val="0059427A"/>
    <w:rsid w:val="00594375"/>
    <w:rsid w:val="00595C40"/>
    <w:rsid w:val="00595DA1"/>
    <w:rsid w:val="00596661"/>
    <w:rsid w:val="005972A9"/>
    <w:rsid w:val="0059733C"/>
    <w:rsid w:val="00597827"/>
    <w:rsid w:val="0059784D"/>
    <w:rsid w:val="00597A96"/>
    <w:rsid w:val="005A0033"/>
    <w:rsid w:val="005A0CD8"/>
    <w:rsid w:val="005A0D84"/>
    <w:rsid w:val="005A12B7"/>
    <w:rsid w:val="005A12DD"/>
    <w:rsid w:val="005A1BC9"/>
    <w:rsid w:val="005A20A1"/>
    <w:rsid w:val="005A3543"/>
    <w:rsid w:val="005A3A04"/>
    <w:rsid w:val="005A4158"/>
    <w:rsid w:val="005A4BF0"/>
    <w:rsid w:val="005A4C1E"/>
    <w:rsid w:val="005A56DC"/>
    <w:rsid w:val="005A5C89"/>
    <w:rsid w:val="005A5F11"/>
    <w:rsid w:val="005A7596"/>
    <w:rsid w:val="005A7A89"/>
    <w:rsid w:val="005B1240"/>
    <w:rsid w:val="005B1DA6"/>
    <w:rsid w:val="005B2D38"/>
    <w:rsid w:val="005B31D0"/>
    <w:rsid w:val="005B3D13"/>
    <w:rsid w:val="005B42B6"/>
    <w:rsid w:val="005B5056"/>
    <w:rsid w:val="005B5ACE"/>
    <w:rsid w:val="005B5CFC"/>
    <w:rsid w:val="005B6D8C"/>
    <w:rsid w:val="005B6E2F"/>
    <w:rsid w:val="005B7679"/>
    <w:rsid w:val="005B7BE8"/>
    <w:rsid w:val="005C03A6"/>
    <w:rsid w:val="005C074F"/>
    <w:rsid w:val="005C1518"/>
    <w:rsid w:val="005C16A6"/>
    <w:rsid w:val="005C1828"/>
    <w:rsid w:val="005C1C7D"/>
    <w:rsid w:val="005C1ED6"/>
    <w:rsid w:val="005C2129"/>
    <w:rsid w:val="005C2A3E"/>
    <w:rsid w:val="005C2B62"/>
    <w:rsid w:val="005C399F"/>
    <w:rsid w:val="005C4C1D"/>
    <w:rsid w:val="005C581F"/>
    <w:rsid w:val="005C5BCC"/>
    <w:rsid w:val="005C6316"/>
    <w:rsid w:val="005C7007"/>
    <w:rsid w:val="005C787D"/>
    <w:rsid w:val="005C7F36"/>
    <w:rsid w:val="005D0861"/>
    <w:rsid w:val="005D0B68"/>
    <w:rsid w:val="005D0D2A"/>
    <w:rsid w:val="005D0E2D"/>
    <w:rsid w:val="005D14CE"/>
    <w:rsid w:val="005D1A35"/>
    <w:rsid w:val="005D226E"/>
    <w:rsid w:val="005D246F"/>
    <w:rsid w:val="005D2894"/>
    <w:rsid w:val="005D2E0B"/>
    <w:rsid w:val="005D338C"/>
    <w:rsid w:val="005D380F"/>
    <w:rsid w:val="005D3B63"/>
    <w:rsid w:val="005D52F1"/>
    <w:rsid w:val="005D5324"/>
    <w:rsid w:val="005D5B4A"/>
    <w:rsid w:val="005D66BB"/>
    <w:rsid w:val="005D6CDD"/>
    <w:rsid w:val="005D7E01"/>
    <w:rsid w:val="005E111B"/>
    <w:rsid w:val="005E1579"/>
    <w:rsid w:val="005E344F"/>
    <w:rsid w:val="005E364C"/>
    <w:rsid w:val="005E3A17"/>
    <w:rsid w:val="005E3D2F"/>
    <w:rsid w:val="005E5528"/>
    <w:rsid w:val="005E61F8"/>
    <w:rsid w:val="005E67E7"/>
    <w:rsid w:val="005E68B4"/>
    <w:rsid w:val="005E722B"/>
    <w:rsid w:val="005F020D"/>
    <w:rsid w:val="005F085C"/>
    <w:rsid w:val="005F1367"/>
    <w:rsid w:val="005F17ED"/>
    <w:rsid w:val="005F22C5"/>
    <w:rsid w:val="005F298D"/>
    <w:rsid w:val="005F313F"/>
    <w:rsid w:val="005F3473"/>
    <w:rsid w:val="005F3E61"/>
    <w:rsid w:val="005F4062"/>
    <w:rsid w:val="005F4F36"/>
    <w:rsid w:val="005F57F3"/>
    <w:rsid w:val="005F607B"/>
    <w:rsid w:val="005F6B5B"/>
    <w:rsid w:val="005F6C49"/>
    <w:rsid w:val="005F75D8"/>
    <w:rsid w:val="005F7A57"/>
    <w:rsid w:val="005F7F52"/>
    <w:rsid w:val="0060067E"/>
    <w:rsid w:val="00601306"/>
    <w:rsid w:val="006016E9"/>
    <w:rsid w:val="006028A9"/>
    <w:rsid w:val="006032A1"/>
    <w:rsid w:val="006042CA"/>
    <w:rsid w:val="00605B22"/>
    <w:rsid w:val="00606480"/>
    <w:rsid w:val="00606CF6"/>
    <w:rsid w:val="00607942"/>
    <w:rsid w:val="0061053F"/>
    <w:rsid w:val="0061070D"/>
    <w:rsid w:val="00611859"/>
    <w:rsid w:val="00611B38"/>
    <w:rsid w:val="00611D34"/>
    <w:rsid w:val="006120F9"/>
    <w:rsid w:val="006122D2"/>
    <w:rsid w:val="00612813"/>
    <w:rsid w:val="00612EF0"/>
    <w:rsid w:val="006133B8"/>
    <w:rsid w:val="00613A6B"/>
    <w:rsid w:val="00613DCD"/>
    <w:rsid w:val="006149E1"/>
    <w:rsid w:val="00614AF7"/>
    <w:rsid w:val="0061658E"/>
    <w:rsid w:val="006166F9"/>
    <w:rsid w:val="006208FF"/>
    <w:rsid w:val="006212F4"/>
    <w:rsid w:val="00621A8E"/>
    <w:rsid w:val="006222AF"/>
    <w:rsid w:val="00622C44"/>
    <w:rsid w:val="00623600"/>
    <w:rsid w:val="00624ECB"/>
    <w:rsid w:val="00625233"/>
    <w:rsid w:val="0062591B"/>
    <w:rsid w:val="00625FEB"/>
    <w:rsid w:val="0062715E"/>
    <w:rsid w:val="006275B3"/>
    <w:rsid w:val="0062765D"/>
    <w:rsid w:val="00627ED9"/>
    <w:rsid w:val="00632087"/>
    <w:rsid w:val="006331E6"/>
    <w:rsid w:val="00635722"/>
    <w:rsid w:val="00636397"/>
    <w:rsid w:val="006368A4"/>
    <w:rsid w:val="00636ADD"/>
    <w:rsid w:val="00637BB5"/>
    <w:rsid w:val="00641BA9"/>
    <w:rsid w:val="00643241"/>
    <w:rsid w:val="006432DC"/>
    <w:rsid w:val="00643A8E"/>
    <w:rsid w:val="00643A95"/>
    <w:rsid w:val="006441B8"/>
    <w:rsid w:val="006448EE"/>
    <w:rsid w:val="0064573C"/>
    <w:rsid w:val="00646E30"/>
    <w:rsid w:val="006477D7"/>
    <w:rsid w:val="0064791E"/>
    <w:rsid w:val="0065061A"/>
    <w:rsid w:val="00650F33"/>
    <w:rsid w:val="0065104C"/>
    <w:rsid w:val="00652C94"/>
    <w:rsid w:val="0065368D"/>
    <w:rsid w:val="00655B90"/>
    <w:rsid w:val="00655CC5"/>
    <w:rsid w:val="0065606B"/>
    <w:rsid w:val="006604BD"/>
    <w:rsid w:val="00660CE1"/>
    <w:rsid w:val="00660DAE"/>
    <w:rsid w:val="00661B4F"/>
    <w:rsid w:val="00661DD1"/>
    <w:rsid w:val="00662528"/>
    <w:rsid w:val="0066267B"/>
    <w:rsid w:val="0066504B"/>
    <w:rsid w:val="0066520F"/>
    <w:rsid w:val="00666DED"/>
    <w:rsid w:val="00666ECC"/>
    <w:rsid w:val="006675A6"/>
    <w:rsid w:val="00667FF8"/>
    <w:rsid w:val="00671B93"/>
    <w:rsid w:val="0067237C"/>
    <w:rsid w:val="0067375E"/>
    <w:rsid w:val="00675300"/>
    <w:rsid w:val="00675B4E"/>
    <w:rsid w:val="00675DE0"/>
    <w:rsid w:val="006777CF"/>
    <w:rsid w:val="00680611"/>
    <w:rsid w:val="006806D2"/>
    <w:rsid w:val="00681A5B"/>
    <w:rsid w:val="00681A6E"/>
    <w:rsid w:val="00684250"/>
    <w:rsid w:val="00684360"/>
    <w:rsid w:val="006848F9"/>
    <w:rsid w:val="00684B3B"/>
    <w:rsid w:val="00684BD0"/>
    <w:rsid w:val="00685DA2"/>
    <w:rsid w:val="006860AE"/>
    <w:rsid w:val="00690277"/>
    <w:rsid w:val="006905C4"/>
    <w:rsid w:val="00690AD0"/>
    <w:rsid w:val="00690DF9"/>
    <w:rsid w:val="006916FD"/>
    <w:rsid w:val="0069221F"/>
    <w:rsid w:val="00692501"/>
    <w:rsid w:val="00693E7B"/>
    <w:rsid w:val="00694380"/>
    <w:rsid w:val="00695661"/>
    <w:rsid w:val="0069665D"/>
    <w:rsid w:val="00696D35"/>
    <w:rsid w:val="00697729"/>
    <w:rsid w:val="006A038E"/>
    <w:rsid w:val="006A0FA5"/>
    <w:rsid w:val="006A1ED2"/>
    <w:rsid w:val="006A270E"/>
    <w:rsid w:val="006A2832"/>
    <w:rsid w:val="006A2DBE"/>
    <w:rsid w:val="006A3144"/>
    <w:rsid w:val="006A59FA"/>
    <w:rsid w:val="006A5FA1"/>
    <w:rsid w:val="006B0D39"/>
    <w:rsid w:val="006B3A86"/>
    <w:rsid w:val="006B4EDA"/>
    <w:rsid w:val="006B540B"/>
    <w:rsid w:val="006B7488"/>
    <w:rsid w:val="006B74EC"/>
    <w:rsid w:val="006C0946"/>
    <w:rsid w:val="006C146E"/>
    <w:rsid w:val="006C33CB"/>
    <w:rsid w:val="006C449A"/>
    <w:rsid w:val="006C5579"/>
    <w:rsid w:val="006C5FAD"/>
    <w:rsid w:val="006C6957"/>
    <w:rsid w:val="006C7803"/>
    <w:rsid w:val="006D1352"/>
    <w:rsid w:val="006D169F"/>
    <w:rsid w:val="006D1A27"/>
    <w:rsid w:val="006D3319"/>
    <w:rsid w:val="006D36F0"/>
    <w:rsid w:val="006D3AEE"/>
    <w:rsid w:val="006D3E20"/>
    <w:rsid w:val="006D62AB"/>
    <w:rsid w:val="006D77FD"/>
    <w:rsid w:val="006D7813"/>
    <w:rsid w:val="006D78FA"/>
    <w:rsid w:val="006E0201"/>
    <w:rsid w:val="006E035A"/>
    <w:rsid w:val="006E037E"/>
    <w:rsid w:val="006E0FDC"/>
    <w:rsid w:val="006E3BA7"/>
    <w:rsid w:val="006E3C5C"/>
    <w:rsid w:val="006E43CB"/>
    <w:rsid w:val="006E4861"/>
    <w:rsid w:val="006E50DE"/>
    <w:rsid w:val="006E542D"/>
    <w:rsid w:val="006E54DB"/>
    <w:rsid w:val="006E5D4B"/>
    <w:rsid w:val="006E6CA5"/>
    <w:rsid w:val="006E6D3F"/>
    <w:rsid w:val="006E7667"/>
    <w:rsid w:val="006E774D"/>
    <w:rsid w:val="006E7A15"/>
    <w:rsid w:val="006E7C98"/>
    <w:rsid w:val="006F0423"/>
    <w:rsid w:val="006F298D"/>
    <w:rsid w:val="006F3FD1"/>
    <w:rsid w:val="006F5856"/>
    <w:rsid w:val="006F61E2"/>
    <w:rsid w:val="006F6716"/>
    <w:rsid w:val="006F7815"/>
    <w:rsid w:val="006F785F"/>
    <w:rsid w:val="007000EF"/>
    <w:rsid w:val="00701C79"/>
    <w:rsid w:val="007028B3"/>
    <w:rsid w:val="00703475"/>
    <w:rsid w:val="00703BAD"/>
    <w:rsid w:val="00704234"/>
    <w:rsid w:val="007044C8"/>
    <w:rsid w:val="00704EB2"/>
    <w:rsid w:val="00704F23"/>
    <w:rsid w:val="00705F25"/>
    <w:rsid w:val="0070632C"/>
    <w:rsid w:val="007075E4"/>
    <w:rsid w:val="0071007F"/>
    <w:rsid w:val="00710222"/>
    <w:rsid w:val="00710A63"/>
    <w:rsid w:val="007119F1"/>
    <w:rsid w:val="007120BB"/>
    <w:rsid w:val="00712D01"/>
    <w:rsid w:val="00714691"/>
    <w:rsid w:val="00714C0F"/>
    <w:rsid w:val="00715697"/>
    <w:rsid w:val="0071584E"/>
    <w:rsid w:val="00715882"/>
    <w:rsid w:val="00715FBC"/>
    <w:rsid w:val="007162A4"/>
    <w:rsid w:val="00716831"/>
    <w:rsid w:val="007170FE"/>
    <w:rsid w:val="00717491"/>
    <w:rsid w:val="00717747"/>
    <w:rsid w:val="00717E34"/>
    <w:rsid w:val="00717F0B"/>
    <w:rsid w:val="00717F43"/>
    <w:rsid w:val="007203C3"/>
    <w:rsid w:val="0072197D"/>
    <w:rsid w:val="00722306"/>
    <w:rsid w:val="00723D77"/>
    <w:rsid w:val="007242B8"/>
    <w:rsid w:val="00724AB6"/>
    <w:rsid w:val="00724DE3"/>
    <w:rsid w:val="00724E07"/>
    <w:rsid w:val="00725AC1"/>
    <w:rsid w:val="00725BB8"/>
    <w:rsid w:val="00726DA2"/>
    <w:rsid w:val="00727902"/>
    <w:rsid w:val="00730325"/>
    <w:rsid w:val="00731200"/>
    <w:rsid w:val="00731A17"/>
    <w:rsid w:val="00731B29"/>
    <w:rsid w:val="00731C80"/>
    <w:rsid w:val="00732807"/>
    <w:rsid w:val="007331F2"/>
    <w:rsid w:val="007334DD"/>
    <w:rsid w:val="00734289"/>
    <w:rsid w:val="007350BD"/>
    <w:rsid w:val="00735723"/>
    <w:rsid w:val="00736578"/>
    <w:rsid w:val="00737C72"/>
    <w:rsid w:val="00740B0F"/>
    <w:rsid w:val="007416E5"/>
    <w:rsid w:val="007418B2"/>
    <w:rsid w:val="007421E6"/>
    <w:rsid w:val="0074247D"/>
    <w:rsid w:val="00744511"/>
    <w:rsid w:val="00744B42"/>
    <w:rsid w:val="007454F5"/>
    <w:rsid w:val="007458C7"/>
    <w:rsid w:val="00746C3C"/>
    <w:rsid w:val="00746D06"/>
    <w:rsid w:val="00747278"/>
    <w:rsid w:val="007472E0"/>
    <w:rsid w:val="0074749C"/>
    <w:rsid w:val="00747AE3"/>
    <w:rsid w:val="0075095E"/>
    <w:rsid w:val="00750EE5"/>
    <w:rsid w:val="00751451"/>
    <w:rsid w:val="00751D07"/>
    <w:rsid w:val="00752618"/>
    <w:rsid w:val="00752988"/>
    <w:rsid w:val="00752C8B"/>
    <w:rsid w:val="00753DEF"/>
    <w:rsid w:val="00753FF3"/>
    <w:rsid w:val="007544E0"/>
    <w:rsid w:val="007548EC"/>
    <w:rsid w:val="00754951"/>
    <w:rsid w:val="007549F7"/>
    <w:rsid w:val="007551A9"/>
    <w:rsid w:val="00755707"/>
    <w:rsid w:val="00756562"/>
    <w:rsid w:val="00756AAD"/>
    <w:rsid w:val="00756DC0"/>
    <w:rsid w:val="00757209"/>
    <w:rsid w:val="007603E0"/>
    <w:rsid w:val="00761432"/>
    <w:rsid w:val="007614E1"/>
    <w:rsid w:val="00761CEF"/>
    <w:rsid w:val="00761E26"/>
    <w:rsid w:val="00762AD1"/>
    <w:rsid w:val="00763AB6"/>
    <w:rsid w:val="00764A19"/>
    <w:rsid w:val="00764C31"/>
    <w:rsid w:val="007651C4"/>
    <w:rsid w:val="00765C61"/>
    <w:rsid w:val="00765C9C"/>
    <w:rsid w:val="00766053"/>
    <w:rsid w:val="0076680A"/>
    <w:rsid w:val="007677C9"/>
    <w:rsid w:val="00770453"/>
    <w:rsid w:val="0077063E"/>
    <w:rsid w:val="00771102"/>
    <w:rsid w:val="007719A3"/>
    <w:rsid w:val="007724C1"/>
    <w:rsid w:val="00772985"/>
    <w:rsid w:val="00772A04"/>
    <w:rsid w:val="00772F5C"/>
    <w:rsid w:val="00775852"/>
    <w:rsid w:val="00775DEB"/>
    <w:rsid w:val="007807AC"/>
    <w:rsid w:val="00780D75"/>
    <w:rsid w:val="00780F93"/>
    <w:rsid w:val="0078188A"/>
    <w:rsid w:val="00782580"/>
    <w:rsid w:val="00783408"/>
    <w:rsid w:val="00783B84"/>
    <w:rsid w:val="00783FFF"/>
    <w:rsid w:val="00784C2F"/>
    <w:rsid w:val="00785874"/>
    <w:rsid w:val="00786346"/>
    <w:rsid w:val="0078699A"/>
    <w:rsid w:val="00786A93"/>
    <w:rsid w:val="00786B16"/>
    <w:rsid w:val="007873BC"/>
    <w:rsid w:val="00787ABC"/>
    <w:rsid w:val="007902D3"/>
    <w:rsid w:val="007904DA"/>
    <w:rsid w:val="00790D39"/>
    <w:rsid w:val="00792303"/>
    <w:rsid w:val="00793163"/>
    <w:rsid w:val="00795E61"/>
    <w:rsid w:val="0079692C"/>
    <w:rsid w:val="007971C0"/>
    <w:rsid w:val="007A0064"/>
    <w:rsid w:val="007A0453"/>
    <w:rsid w:val="007A0DFD"/>
    <w:rsid w:val="007A1610"/>
    <w:rsid w:val="007A1B87"/>
    <w:rsid w:val="007A1E83"/>
    <w:rsid w:val="007A33D7"/>
    <w:rsid w:val="007A362D"/>
    <w:rsid w:val="007A3B6E"/>
    <w:rsid w:val="007A3DC8"/>
    <w:rsid w:val="007A4D90"/>
    <w:rsid w:val="007A4EB5"/>
    <w:rsid w:val="007A52B3"/>
    <w:rsid w:val="007A57F6"/>
    <w:rsid w:val="007A5E1C"/>
    <w:rsid w:val="007A606A"/>
    <w:rsid w:val="007A62F8"/>
    <w:rsid w:val="007A6475"/>
    <w:rsid w:val="007B12EF"/>
    <w:rsid w:val="007B14A6"/>
    <w:rsid w:val="007B1941"/>
    <w:rsid w:val="007B48AB"/>
    <w:rsid w:val="007B4CED"/>
    <w:rsid w:val="007B5EC2"/>
    <w:rsid w:val="007B6BD5"/>
    <w:rsid w:val="007B71EE"/>
    <w:rsid w:val="007B7788"/>
    <w:rsid w:val="007B78A1"/>
    <w:rsid w:val="007C01E2"/>
    <w:rsid w:val="007C054C"/>
    <w:rsid w:val="007C0780"/>
    <w:rsid w:val="007C0EF6"/>
    <w:rsid w:val="007C1C4F"/>
    <w:rsid w:val="007C1D93"/>
    <w:rsid w:val="007C21CC"/>
    <w:rsid w:val="007C2897"/>
    <w:rsid w:val="007C2B2E"/>
    <w:rsid w:val="007C2D7D"/>
    <w:rsid w:val="007C309B"/>
    <w:rsid w:val="007C3563"/>
    <w:rsid w:val="007C3955"/>
    <w:rsid w:val="007C64B6"/>
    <w:rsid w:val="007C6F04"/>
    <w:rsid w:val="007D047A"/>
    <w:rsid w:val="007D06CF"/>
    <w:rsid w:val="007D0A92"/>
    <w:rsid w:val="007D0F37"/>
    <w:rsid w:val="007D0F55"/>
    <w:rsid w:val="007D23A3"/>
    <w:rsid w:val="007D2BD1"/>
    <w:rsid w:val="007D3655"/>
    <w:rsid w:val="007D4A0A"/>
    <w:rsid w:val="007D4F66"/>
    <w:rsid w:val="007D66D2"/>
    <w:rsid w:val="007D790E"/>
    <w:rsid w:val="007D7920"/>
    <w:rsid w:val="007E153A"/>
    <w:rsid w:val="007E35FB"/>
    <w:rsid w:val="007E369B"/>
    <w:rsid w:val="007E41D8"/>
    <w:rsid w:val="007E496D"/>
    <w:rsid w:val="007E5132"/>
    <w:rsid w:val="007E5487"/>
    <w:rsid w:val="007E6F62"/>
    <w:rsid w:val="007E727F"/>
    <w:rsid w:val="007E79B0"/>
    <w:rsid w:val="007F01D1"/>
    <w:rsid w:val="007F0576"/>
    <w:rsid w:val="007F079E"/>
    <w:rsid w:val="007F0919"/>
    <w:rsid w:val="007F0A00"/>
    <w:rsid w:val="007F286D"/>
    <w:rsid w:val="007F3868"/>
    <w:rsid w:val="007F3CD7"/>
    <w:rsid w:val="007F3ED1"/>
    <w:rsid w:val="007F40D3"/>
    <w:rsid w:val="007F42D4"/>
    <w:rsid w:val="007F470D"/>
    <w:rsid w:val="007F50C1"/>
    <w:rsid w:val="007F511B"/>
    <w:rsid w:val="007F5620"/>
    <w:rsid w:val="007F597B"/>
    <w:rsid w:val="007F5D50"/>
    <w:rsid w:val="007F5FDD"/>
    <w:rsid w:val="007F687F"/>
    <w:rsid w:val="007F771C"/>
    <w:rsid w:val="0080031E"/>
    <w:rsid w:val="00800DA9"/>
    <w:rsid w:val="0080159C"/>
    <w:rsid w:val="00801611"/>
    <w:rsid w:val="008026C2"/>
    <w:rsid w:val="0080316B"/>
    <w:rsid w:val="0080343C"/>
    <w:rsid w:val="00803CD2"/>
    <w:rsid w:val="00803F0C"/>
    <w:rsid w:val="008042C2"/>
    <w:rsid w:val="00804860"/>
    <w:rsid w:val="00805B80"/>
    <w:rsid w:val="00806C54"/>
    <w:rsid w:val="0080759C"/>
    <w:rsid w:val="00807774"/>
    <w:rsid w:val="008116A5"/>
    <w:rsid w:val="00813596"/>
    <w:rsid w:val="00813696"/>
    <w:rsid w:val="00815019"/>
    <w:rsid w:val="00815728"/>
    <w:rsid w:val="00815741"/>
    <w:rsid w:val="00815B06"/>
    <w:rsid w:val="00815B70"/>
    <w:rsid w:val="00815DED"/>
    <w:rsid w:val="00817582"/>
    <w:rsid w:val="00817695"/>
    <w:rsid w:val="00821750"/>
    <w:rsid w:val="00821A17"/>
    <w:rsid w:val="0082246E"/>
    <w:rsid w:val="00822A25"/>
    <w:rsid w:val="00822AF6"/>
    <w:rsid w:val="00824303"/>
    <w:rsid w:val="0082576F"/>
    <w:rsid w:val="00826A60"/>
    <w:rsid w:val="008270EA"/>
    <w:rsid w:val="00827A03"/>
    <w:rsid w:val="00827AE1"/>
    <w:rsid w:val="00827D1D"/>
    <w:rsid w:val="008301FB"/>
    <w:rsid w:val="00830315"/>
    <w:rsid w:val="00830DBD"/>
    <w:rsid w:val="00832C92"/>
    <w:rsid w:val="00833325"/>
    <w:rsid w:val="00833FF5"/>
    <w:rsid w:val="008356F8"/>
    <w:rsid w:val="00835865"/>
    <w:rsid w:val="008364AA"/>
    <w:rsid w:val="008365C5"/>
    <w:rsid w:val="008377BC"/>
    <w:rsid w:val="0083780E"/>
    <w:rsid w:val="0083786C"/>
    <w:rsid w:val="00837DBA"/>
    <w:rsid w:val="0084024A"/>
    <w:rsid w:val="00840346"/>
    <w:rsid w:val="008410BF"/>
    <w:rsid w:val="00842D96"/>
    <w:rsid w:val="008441E4"/>
    <w:rsid w:val="00844980"/>
    <w:rsid w:val="0084575C"/>
    <w:rsid w:val="00847E98"/>
    <w:rsid w:val="00850E1F"/>
    <w:rsid w:val="00851F78"/>
    <w:rsid w:val="00852090"/>
    <w:rsid w:val="0085269D"/>
    <w:rsid w:val="008526BD"/>
    <w:rsid w:val="0085277E"/>
    <w:rsid w:val="00852CE0"/>
    <w:rsid w:val="00852F67"/>
    <w:rsid w:val="0085383A"/>
    <w:rsid w:val="008549D7"/>
    <w:rsid w:val="00855707"/>
    <w:rsid w:val="008560D9"/>
    <w:rsid w:val="00856111"/>
    <w:rsid w:val="00856CB6"/>
    <w:rsid w:val="008576A6"/>
    <w:rsid w:val="00857A97"/>
    <w:rsid w:val="00861627"/>
    <w:rsid w:val="00861671"/>
    <w:rsid w:val="00861A70"/>
    <w:rsid w:val="00863352"/>
    <w:rsid w:val="00863753"/>
    <w:rsid w:val="00865B36"/>
    <w:rsid w:val="00866A32"/>
    <w:rsid w:val="00867271"/>
    <w:rsid w:val="00870151"/>
    <w:rsid w:val="0087023A"/>
    <w:rsid w:val="00871267"/>
    <w:rsid w:val="0087144E"/>
    <w:rsid w:val="0087152A"/>
    <w:rsid w:val="00871C8B"/>
    <w:rsid w:val="00872F80"/>
    <w:rsid w:val="00873045"/>
    <w:rsid w:val="00873C57"/>
    <w:rsid w:val="0087431E"/>
    <w:rsid w:val="00874BD8"/>
    <w:rsid w:val="0087575B"/>
    <w:rsid w:val="00875AA1"/>
    <w:rsid w:val="00876651"/>
    <w:rsid w:val="00876D78"/>
    <w:rsid w:val="0087712A"/>
    <w:rsid w:val="0087715A"/>
    <w:rsid w:val="00880133"/>
    <w:rsid w:val="00880E05"/>
    <w:rsid w:val="00881422"/>
    <w:rsid w:val="00882C88"/>
    <w:rsid w:val="00883089"/>
    <w:rsid w:val="00883C4E"/>
    <w:rsid w:val="00884708"/>
    <w:rsid w:val="00884E1F"/>
    <w:rsid w:val="008854E2"/>
    <w:rsid w:val="00885623"/>
    <w:rsid w:val="00885987"/>
    <w:rsid w:val="00885A8B"/>
    <w:rsid w:val="00886307"/>
    <w:rsid w:val="008867F1"/>
    <w:rsid w:val="008878DA"/>
    <w:rsid w:val="008879A9"/>
    <w:rsid w:val="00887B36"/>
    <w:rsid w:val="008908F0"/>
    <w:rsid w:val="00890AB9"/>
    <w:rsid w:val="00890D75"/>
    <w:rsid w:val="00892F07"/>
    <w:rsid w:val="00893921"/>
    <w:rsid w:val="00893A82"/>
    <w:rsid w:val="00894997"/>
    <w:rsid w:val="00894B36"/>
    <w:rsid w:val="00895222"/>
    <w:rsid w:val="00895C91"/>
    <w:rsid w:val="00895D51"/>
    <w:rsid w:val="0089740B"/>
    <w:rsid w:val="00897932"/>
    <w:rsid w:val="00897CD4"/>
    <w:rsid w:val="008A03E2"/>
    <w:rsid w:val="008A1A5E"/>
    <w:rsid w:val="008A1A66"/>
    <w:rsid w:val="008A1D8D"/>
    <w:rsid w:val="008A47D8"/>
    <w:rsid w:val="008A5366"/>
    <w:rsid w:val="008A613F"/>
    <w:rsid w:val="008A6238"/>
    <w:rsid w:val="008A6773"/>
    <w:rsid w:val="008A7140"/>
    <w:rsid w:val="008A75C8"/>
    <w:rsid w:val="008B052F"/>
    <w:rsid w:val="008B0717"/>
    <w:rsid w:val="008B118F"/>
    <w:rsid w:val="008B1ACD"/>
    <w:rsid w:val="008B3196"/>
    <w:rsid w:val="008B32E2"/>
    <w:rsid w:val="008B35FE"/>
    <w:rsid w:val="008B3B59"/>
    <w:rsid w:val="008B3C9E"/>
    <w:rsid w:val="008B5090"/>
    <w:rsid w:val="008B5E56"/>
    <w:rsid w:val="008B6781"/>
    <w:rsid w:val="008B6EE4"/>
    <w:rsid w:val="008B7BBA"/>
    <w:rsid w:val="008B7E85"/>
    <w:rsid w:val="008C0CC5"/>
    <w:rsid w:val="008C1488"/>
    <w:rsid w:val="008C294A"/>
    <w:rsid w:val="008C3793"/>
    <w:rsid w:val="008C4050"/>
    <w:rsid w:val="008C4435"/>
    <w:rsid w:val="008C44A0"/>
    <w:rsid w:val="008C4D05"/>
    <w:rsid w:val="008C4D13"/>
    <w:rsid w:val="008C52A5"/>
    <w:rsid w:val="008C6480"/>
    <w:rsid w:val="008D012A"/>
    <w:rsid w:val="008D07CD"/>
    <w:rsid w:val="008D0EEC"/>
    <w:rsid w:val="008D0F64"/>
    <w:rsid w:val="008D11B0"/>
    <w:rsid w:val="008D212E"/>
    <w:rsid w:val="008D2422"/>
    <w:rsid w:val="008D2603"/>
    <w:rsid w:val="008D27F9"/>
    <w:rsid w:val="008D28FF"/>
    <w:rsid w:val="008D3F56"/>
    <w:rsid w:val="008D4174"/>
    <w:rsid w:val="008D43DF"/>
    <w:rsid w:val="008D47E5"/>
    <w:rsid w:val="008D598B"/>
    <w:rsid w:val="008D678C"/>
    <w:rsid w:val="008D70A5"/>
    <w:rsid w:val="008D783C"/>
    <w:rsid w:val="008D7B30"/>
    <w:rsid w:val="008D7B5F"/>
    <w:rsid w:val="008E1D43"/>
    <w:rsid w:val="008E32CD"/>
    <w:rsid w:val="008E3733"/>
    <w:rsid w:val="008E5197"/>
    <w:rsid w:val="008E54B0"/>
    <w:rsid w:val="008E5B48"/>
    <w:rsid w:val="008E658B"/>
    <w:rsid w:val="008E68B3"/>
    <w:rsid w:val="008E7411"/>
    <w:rsid w:val="008F0047"/>
    <w:rsid w:val="008F04E4"/>
    <w:rsid w:val="008F0B72"/>
    <w:rsid w:val="008F13A7"/>
    <w:rsid w:val="008F2826"/>
    <w:rsid w:val="008F2AE3"/>
    <w:rsid w:val="008F305C"/>
    <w:rsid w:val="008F33F7"/>
    <w:rsid w:val="008F3625"/>
    <w:rsid w:val="008F4B0D"/>
    <w:rsid w:val="008F5059"/>
    <w:rsid w:val="008F506F"/>
    <w:rsid w:val="008F555B"/>
    <w:rsid w:val="008F56EB"/>
    <w:rsid w:val="008F6079"/>
    <w:rsid w:val="008F6E75"/>
    <w:rsid w:val="008F723F"/>
    <w:rsid w:val="008F7BEA"/>
    <w:rsid w:val="008F7C22"/>
    <w:rsid w:val="008F7C32"/>
    <w:rsid w:val="008F7E56"/>
    <w:rsid w:val="009000CE"/>
    <w:rsid w:val="00900974"/>
    <w:rsid w:val="00901C3C"/>
    <w:rsid w:val="00901FD2"/>
    <w:rsid w:val="009021D8"/>
    <w:rsid w:val="00902C47"/>
    <w:rsid w:val="00902F6A"/>
    <w:rsid w:val="00903A45"/>
    <w:rsid w:val="00904319"/>
    <w:rsid w:val="009046F7"/>
    <w:rsid w:val="00904E0E"/>
    <w:rsid w:val="00905DF1"/>
    <w:rsid w:val="0090625B"/>
    <w:rsid w:val="009063CE"/>
    <w:rsid w:val="0090711E"/>
    <w:rsid w:val="009079E5"/>
    <w:rsid w:val="00907E16"/>
    <w:rsid w:val="00911036"/>
    <w:rsid w:val="009118B1"/>
    <w:rsid w:val="0091364A"/>
    <w:rsid w:val="009136E4"/>
    <w:rsid w:val="009139B0"/>
    <w:rsid w:val="009139F7"/>
    <w:rsid w:val="00913AF3"/>
    <w:rsid w:val="00913BDE"/>
    <w:rsid w:val="00913E18"/>
    <w:rsid w:val="00913E9A"/>
    <w:rsid w:val="00913F82"/>
    <w:rsid w:val="0091481F"/>
    <w:rsid w:val="009150C4"/>
    <w:rsid w:val="00915166"/>
    <w:rsid w:val="009154C5"/>
    <w:rsid w:val="00915831"/>
    <w:rsid w:val="00916321"/>
    <w:rsid w:val="00916740"/>
    <w:rsid w:val="00916D87"/>
    <w:rsid w:val="009179D2"/>
    <w:rsid w:val="00917B84"/>
    <w:rsid w:val="00917E12"/>
    <w:rsid w:val="00920271"/>
    <w:rsid w:val="00920B82"/>
    <w:rsid w:val="009211B6"/>
    <w:rsid w:val="009215F4"/>
    <w:rsid w:val="0092295A"/>
    <w:rsid w:val="00924BDF"/>
    <w:rsid w:val="00925051"/>
    <w:rsid w:val="00926549"/>
    <w:rsid w:val="009270B5"/>
    <w:rsid w:val="00927DBE"/>
    <w:rsid w:val="00927EBB"/>
    <w:rsid w:val="00932717"/>
    <w:rsid w:val="00932F3E"/>
    <w:rsid w:val="00933194"/>
    <w:rsid w:val="00933332"/>
    <w:rsid w:val="009337CA"/>
    <w:rsid w:val="00934EB3"/>
    <w:rsid w:val="00934EF1"/>
    <w:rsid w:val="00934FB2"/>
    <w:rsid w:val="00935802"/>
    <w:rsid w:val="00937028"/>
    <w:rsid w:val="00937234"/>
    <w:rsid w:val="00937A3E"/>
    <w:rsid w:val="00940201"/>
    <w:rsid w:val="0094083C"/>
    <w:rsid w:val="009411DB"/>
    <w:rsid w:val="009441BA"/>
    <w:rsid w:val="00945720"/>
    <w:rsid w:val="009469B9"/>
    <w:rsid w:val="00946C28"/>
    <w:rsid w:val="009479C4"/>
    <w:rsid w:val="0095004C"/>
    <w:rsid w:val="0095068E"/>
    <w:rsid w:val="00950EE4"/>
    <w:rsid w:val="009516AA"/>
    <w:rsid w:val="009516E9"/>
    <w:rsid w:val="00953144"/>
    <w:rsid w:val="009537A0"/>
    <w:rsid w:val="00953A98"/>
    <w:rsid w:val="00953AA2"/>
    <w:rsid w:val="00955601"/>
    <w:rsid w:val="00955A74"/>
    <w:rsid w:val="0095637A"/>
    <w:rsid w:val="00957834"/>
    <w:rsid w:val="00957F4B"/>
    <w:rsid w:val="00960822"/>
    <w:rsid w:val="00961088"/>
    <w:rsid w:val="009612E0"/>
    <w:rsid w:val="009615C3"/>
    <w:rsid w:val="00961A68"/>
    <w:rsid w:val="0096211D"/>
    <w:rsid w:val="009630CC"/>
    <w:rsid w:val="009644CC"/>
    <w:rsid w:val="00964784"/>
    <w:rsid w:val="00964A00"/>
    <w:rsid w:val="00964CD3"/>
    <w:rsid w:val="00964D6F"/>
    <w:rsid w:val="00966DFD"/>
    <w:rsid w:val="00967DA3"/>
    <w:rsid w:val="009702B6"/>
    <w:rsid w:val="0097038F"/>
    <w:rsid w:val="00971F11"/>
    <w:rsid w:val="00972AB5"/>
    <w:rsid w:val="0097365D"/>
    <w:rsid w:val="009746FA"/>
    <w:rsid w:val="00974853"/>
    <w:rsid w:val="00974EED"/>
    <w:rsid w:val="009750C7"/>
    <w:rsid w:val="00976EF5"/>
    <w:rsid w:val="00977A8A"/>
    <w:rsid w:val="00980C81"/>
    <w:rsid w:val="009816A6"/>
    <w:rsid w:val="009817E7"/>
    <w:rsid w:val="00982E5C"/>
    <w:rsid w:val="0098313E"/>
    <w:rsid w:val="00983974"/>
    <w:rsid w:val="00983D87"/>
    <w:rsid w:val="009851A6"/>
    <w:rsid w:val="0098578A"/>
    <w:rsid w:val="00986BA6"/>
    <w:rsid w:val="00987505"/>
    <w:rsid w:val="00987804"/>
    <w:rsid w:val="00987DEB"/>
    <w:rsid w:val="00990256"/>
    <w:rsid w:val="009902D5"/>
    <w:rsid w:val="00990329"/>
    <w:rsid w:val="0099116B"/>
    <w:rsid w:val="009921D4"/>
    <w:rsid w:val="00992523"/>
    <w:rsid w:val="009947EC"/>
    <w:rsid w:val="00995676"/>
    <w:rsid w:val="0099605B"/>
    <w:rsid w:val="00996C70"/>
    <w:rsid w:val="009978B3"/>
    <w:rsid w:val="00997A4A"/>
    <w:rsid w:val="009A034B"/>
    <w:rsid w:val="009A04C9"/>
    <w:rsid w:val="009A05AB"/>
    <w:rsid w:val="009A0A8A"/>
    <w:rsid w:val="009A0CDD"/>
    <w:rsid w:val="009A53A3"/>
    <w:rsid w:val="009A75BF"/>
    <w:rsid w:val="009A772E"/>
    <w:rsid w:val="009A787A"/>
    <w:rsid w:val="009A78E0"/>
    <w:rsid w:val="009A7C90"/>
    <w:rsid w:val="009B0AC9"/>
    <w:rsid w:val="009B1062"/>
    <w:rsid w:val="009B17BA"/>
    <w:rsid w:val="009B216A"/>
    <w:rsid w:val="009B2218"/>
    <w:rsid w:val="009B2407"/>
    <w:rsid w:val="009B3BEC"/>
    <w:rsid w:val="009B5252"/>
    <w:rsid w:val="009B55BC"/>
    <w:rsid w:val="009B630D"/>
    <w:rsid w:val="009B712E"/>
    <w:rsid w:val="009C0415"/>
    <w:rsid w:val="009C0E82"/>
    <w:rsid w:val="009C0F15"/>
    <w:rsid w:val="009C104B"/>
    <w:rsid w:val="009C12E8"/>
    <w:rsid w:val="009C1409"/>
    <w:rsid w:val="009C1A5D"/>
    <w:rsid w:val="009C216B"/>
    <w:rsid w:val="009C302A"/>
    <w:rsid w:val="009C331D"/>
    <w:rsid w:val="009C3E23"/>
    <w:rsid w:val="009C3EA2"/>
    <w:rsid w:val="009C48F7"/>
    <w:rsid w:val="009C4C9D"/>
    <w:rsid w:val="009C5010"/>
    <w:rsid w:val="009C5806"/>
    <w:rsid w:val="009C5EEC"/>
    <w:rsid w:val="009C7981"/>
    <w:rsid w:val="009C7C26"/>
    <w:rsid w:val="009D07A8"/>
    <w:rsid w:val="009D0ADC"/>
    <w:rsid w:val="009D1D0F"/>
    <w:rsid w:val="009D1FD1"/>
    <w:rsid w:val="009D2FD2"/>
    <w:rsid w:val="009D36C6"/>
    <w:rsid w:val="009D3C77"/>
    <w:rsid w:val="009D3E90"/>
    <w:rsid w:val="009D40D4"/>
    <w:rsid w:val="009D4314"/>
    <w:rsid w:val="009D4F0E"/>
    <w:rsid w:val="009D4F67"/>
    <w:rsid w:val="009D5005"/>
    <w:rsid w:val="009D5262"/>
    <w:rsid w:val="009D55B9"/>
    <w:rsid w:val="009D5D98"/>
    <w:rsid w:val="009D5F3F"/>
    <w:rsid w:val="009D5FD6"/>
    <w:rsid w:val="009D6302"/>
    <w:rsid w:val="009D6938"/>
    <w:rsid w:val="009D6A93"/>
    <w:rsid w:val="009D6DED"/>
    <w:rsid w:val="009D7587"/>
    <w:rsid w:val="009D79A1"/>
    <w:rsid w:val="009E084B"/>
    <w:rsid w:val="009E0DA7"/>
    <w:rsid w:val="009E0E5D"/>
    <w:rsid w:val="009E3BDC"/>
    <w:rsid w:val="009E3C74"/>
    <w:rsid w:val="009E4304"/>
    <w:rsid w:val="009E48BC"/>
    <w:rsid w:val="009E49E5"/>
    <w:rsid w:val="009E4B78"/>
    <w:rsid w:val="009E4E35"/>
    <w:rsid w:val="009E509F"/>
    <w:rsid w:val="009E61CD"/>
    <w:rsid w:val="009E7287"/>
    <w:rsid w:val="009E7437"/>
    <w:rsid w:val="009F0176"/>
    <w:rsid w:val="009F0552"/>
    <w:rsid w:val="009F147D"/>
    <w:rsid w:val="009F1905"/>
    <w:rsid w:val="009F2BCF"/>
    <w:rsid w:val="009F3647"/>
    <w:rsid w:val="009F3B4C"/>
    <w:rsid w:val="009F404E"/>
    <w:rsid w:val="009F4244"/>
    <w:rsid w:val="009F4A35"/>
    <w:rsid w:val="009F735E"/>
    <w:rsid w:val="009F7C39"/>
    <w:rsid w:val="009F7CA8"/>
    <w:rsid w:val="009F7CC6"/>
    <w:rsid w:val="00A021B8"/>
    <w:rsid w:val="00A022A5"/>
    <w:rsid w:val="00A02B5B"/>
    <w:rsid w:val="00A03B1F"/>
    <w:rsid w:val="00A04357"/>
    <w:rsid w:val="00A045C5"/>
    <w:rsid w:val="00A045F2"/>
    <w:rsid w:val="00A04FA2"/>
    <w:rsid w:val="00A05430"/>
    <w:rsid w:val="00A06DE2"/>
    <w:rsid w:val="00A079CB"/>
    <w:rsid w:val="00A11004"/>
    <w:rsid w:val="00A112A3"/>
    <w:rsid w:val="00A11E7B"/>
    <w:rsid w:val="00A139C4"/>
    <w:rsid w:val="00A13AB5"/>
    <w:rsid w:val="00A14419"/>
    <w:rsid w:val="00A14F60"/>
    <w:rsid w:val="00A15933"/>
    <w:rsid w:val="00A16501"/>
    <w:rsid w:val="00A20322"/>
    <w:rsid w:val="00A20338"/>
    <w:rsid w:val="00A21800"/>
    <w:rsid w:val="00A225BF"/>
    <w:rsid w:val="00A22F5B"/>
    <w:rsid w:val="00A2303E"/>
    <w:rsid w:val="00A23837"/>
    <w:rsid w:val="00A242E1"/>
    <w:rsid w:val="00A24763"/>
    <w:rsid w:val="00A2711B"/>
    <w:rsid w:val="00A27D90"/>
    <w:rsid w:val="00A302AD"/>
    <w:rsid w:val="00A30498"/>
    <w:rsid w:val="00A30B1B"/>
    <w:rsid w:val="00A31065"/>
    <w:rsid w:val="00A31080"/>
    <w:rsid w:val="00A3132D"/>
    <w:rsid w:val="00A3183F"/>
    <w:rsid w:val="00A31E85"/>
    <w:rsid w:val="00A323B7"/>
    <w:rsid w:val="00A32BB6"/>
    <w:rsid w:val="00A32F36"/>
    <w:rsid w:val="00A34417"/>
    <w:rsid w:val="00A34A8C"/>
    <w:rsid w:val="00A350CB"/>
    <w:rsid w:val="00A35552"/>
    <w:rsid w:val="00A35DE2"/>
    <w:rsid w:val="00A36776"/>
    <w:rsid w:val="00A36A8E"/>
    <w:rsid w:val="00A4055A"/>
    <w:rsid w:val="00A42C00"/>
    <w:rsid w:val="00A42CDF"/>
    <w:rsid w:val="00A43300"/>
    <w:rsid w:val="00A44524"/>
    <w:rsid w:val="00A4649D"/>
    <w:rsid w:val="00A5036F"/>
    <w:rsid w:val="00A512EF"/>
    <w:rsid w:val="00A5144F"/>
    <w:rsid w:val="00A51592"/>
    <w:rsid w:val="00A51756"/>
    <w:rsid w:val="00A51C91"/>
    <w:rsid w:val="00A5212B"/>
    <w:rsid w:val="00A5353A"/>
    <w:rsid w:val="00A53991"/>
    <w:rsid w:val="00A539FF"/>
    <w:rsid w:val="00A54105"/>
    <w:rsid w:val="00A549B2"/>
    <w:rsid w:val="00A5593F"/>
    <w:rsid w:val="00A5604E"/>
    <w:rsid w:val="00A56907"/>
    <w:rsid w:val="00A57756"/>
    <w:rsid w:val="00A577AC"/>
    <w:rsid w:val="00A57F12"/>
    <w:rsid w:val="00A60323"/>
    <w:rsid w:val="00A60562"/>
    <w:rsid w:val="00A60FDD"/>
    <w:rsid w:val="00A61848"/>
    <w:rsid w:val="00A623BE"/>
    <w:rsid w:val="00A625C4"/>
    <w:rsid w:val="00A6398E"/>
    <w:rsid w:val="00A63A2C"/>
    <w:rsid w:val="00A646AD"/>
    <w:rsid w:val="00A647D9"/>
    <w:rsid w:val="00A649D8"/>
    <w:rsid w:val="00A64BA4"/>
    <w:rsid w:val="00A65725"/>
    <w:rsid w:val="00A66500"/>
    <w:rsid w:val="00A66568"/>
    <w:rsid w:val="00A66952"/>
    <w:rsid w:val="00A70DF2"/>
    <w:rsid w:val="00A72276"/>
    <w:rsid w:val="00A72446"/>
    <w:rsid w:val="00A73D21"/>
    <w:rsid w:val="00A74210"/>
    <w:rsid w:val="00A74F2F"/>
    <w:rsid w:val="00A75241"/>
    <w:rsid w:val="00A76F6C"/>
    <w:rsid w:val="00A777A5"/>
    <w:rsid w:val="00A77D5C"/>
    <w:rsid w:val="00A80519"/>
    <w:rsid w:val="00A816C7"/>
    <w:rsid w:val="00A81E7B"/>
    <w:rsid w:val="00A8212B"/>
    <w:rsid w:val="00A82A03"/>
    <w:rsid w:val="00A82A4F"/>
    <w:rsid w:val="00A82F91"/>
    <w:rsid w:val="00A843BB"/>
    <w:rsid w:val="00A858DA"/>
    <w:rsid w:val="00A859EB"/>
    <w:rsid w:val="00A85A33"/>
    <w:rsid w:val="00A86A42"/>
    <w:rsid w:val="00A8708C"/>
    <w:rsid w:val="00A87232"/>
    <w:rsid w:val="00A90BE9"/>
    <w:rsid w:val="00A90C0D"/>
    <w:rsid w:val="00A90DAE"/>
    <w:rsid w:val="00A91725"/>
    <w:rsid w:val="00A92A12"/>
    <w:rsid w:val="00A92A9E"/>
    <w:rsid w:val="00A9338D"/>
    <w:rsid w:val="00A936E3"/>
    <w:rsid w:val="00A93E3B"/>
    <w:rsid w:val="00A94E08"/>
    <w:rsid w:val="00A9587D"/>
    <w:rsid w:val="00A95BFD"/>
    <w:rsid w:val="00AA0B69"/>
    <w:rsid w:val="00AA0C7B"/>
    <w:rsid w:val="00AA147E"/>
    <w:rsid w:val="00AA2FB7"/>
    <w:rsid w:val="00AA34B0"/>
    <w:rsid w:val="00AA4B9B"/>
    <w:rsid w:val="00AA4C23"/>
    <w:rsid w:val="00AA556A"/>
    <w:rsid w:val="00AA5AAA"/>
    <w:rsid w:val="00AA6300"/>
    <w:rsid w:val="00AA6CFF"/>
    <w:rsid w:val="00AB0630"/>
    <w:rsid w:val="00AB0635"/>
    <w:rsid w:val="00AB0769"/>
    <w:rsid w:val="00AB0E6C"/>
    <w:rsid w:val="00AB3C55"/>
    <w:rsid w:val="00AB5815"/>
    <w:rsid w:val="00AB5BCA"/>
    <w:rsid w:val="00AB5D00"/>
    <w:rsid w:val="00AB76C7"/>
    <w:rsid w:val="00AB7739"/>
    <w:rsid w:val="00AB7C1F"/>
    <w:rsid w:val="00AC005C"/>
    <w:rsid w:val="00AC0552"/>
    <w:rsid w:val="00AC0ADC"/>
    <w:rsid w:val="00AC0B01"/>
    <w:rsid w:val="00AC16EB"/>
    <w:rsid w:val="00AC20CF"/>
    <w:rsid w:val="00AC217A"/>
    <w:rsid w:val="00AC2963"/>
    <w:rsid w:val="00AC2FE6"/>
    <w:rsid w:val="00AC315C"/>
    <w:rsid w:val="00AC31D1"/>
    <w:rsid w:val="00AC3C15"/>
    <w:rsid w:val="00AC51BC"/>
    <w:rsid w:val="00AC5959"/>
    <w:rsid w:val="00AC677B"/>
    <w:rsid w:val="00AD03A6"/>
    <w:rsid w:val="00AD0DF9"/>
    <w:rsid w:val="00AD0E1A"/>
    <w:rsid w:val="00AD1212"/>
    <w:rsid w:val="00AD1823"/>
    <w:rsid w:val="00AD1B2B"/>
    <w:rsid w:val="00AD2CCE"/>
    <w:rsid w:val="00AD3623"/>
    <w:rsid w:val="00AD4174"/>
    <w:rsid w:val="00AD56CD"/>
    <w:rsid w:val="00AD5909"/>
    <w:rsid w:val="00AD5A37"/>
    <w:rsid w:val="00AD60ED"/>
    <w:rsid w:val="00AD66B3"/>
    <w:rsid w:val="00AD6F2C"/>
    <w:rsid w:val="00AD7064"/>
    <w:rsid w:val="00AE0F0F"/>
    <w:rsid w:val="00AE1247"/>
    <w:rsid w:val="00AE1D18"/>
    <w:rsid w:val="00AE2363"/>
    <w:rsid w:val="00AE314F"/>
    <w:rsid w:val="00AE4A81"/>
    <w:rsid w:val="00AE4BF4"/>
    <w:rsid w:val="00AE5E1B"/>
    <w:rsid w:val="00AE6254"/>
    <w:rsid w:val="00AE6850"/>
    <w:rsid w:val="00AE6EB8"/>
    <w:rsid w:val="00AE7615"/>
    <w:rsid w:val="00AE7979"/>
    <w:rsid w:val="00AF0B9A"/>
    <w:rsid w:val="00AF0BB1"/>
    <w:rsid w:val="00AF18D6"/>
    <w:rsid w:val="00AF1D3E"/>
    <w:rsid w:val="00AF2247"/>
    <w:rsid w:val="00AF22C3"/>
    <w:rsid w:val="00AF26F4"/>
    <w:rsid w:val="00AF2732"/>
    <w:rsid w:val="00AF3610"/>
    <w:rsid w:val="00AF50E5"/>
    <w:rsid w:val="00AF5395"/>
    <w:rsid w:val="00AF5BB3"/>
    <w:rsid w:val="00AF65F4"/>
    <w:rsid w:val="00AF68C1"/>
    <w:rsid w:val="00B0061A"/>
    <w:rsid w:val="00B0089C"/>
    <w:rsid w:val="00B0164E"/>
    <w:rsid w:val="00B01696"/>
    <w:rsid w:val="00B01ACD"/>
    <w:rsid w:val="00B02BE4"/>
    <w:rsid w:val="00B03A25"/>
    <w:rsid w:val="00B03A69"/>
    <w:rsid w:val="00B03A74"/>
    <w:rsid w:val="00B03B48"/>
    <w:rsid w:val="00B051E2"/>
    <w:rsid w:val="00B052C6"/>
    <w:rsid w:val="00B0565C"/>
    <w:rsid w:val="00B057B8"/>
    <w:rsid w:val="00B05F69"/>
    <w:rsid w:val="00B07114"/>
    <w:rsid w:val="00B1076B"/>
    <w:rsid w:val="00B10A28"/>
    <w:rsid w:val="00B10E7C"/>
    <w:rsid w:val="00B11471"/>
    <w:rsid w:val="00B12EAC"/>
    <w:rsid w:val="00B13714"/>
    <w:rsid w:val="00B137FF"/>
    <w:rsid w:val="00B13A8D"/>
    <w:rsid w:val="00B13D8C"/>
    <w:rsid w:val="00B15170"/>
    <w:rsid w:val="00B160DE"/>
    <w:rsid w:val="00B169EC"/>
    <w:rsid w:val="00B20B14"/>
    <w:rsid w:val="00B20C23"/>
    <w:rsid w:val="00B21636"/>
    <w:rsid w:val="00B21B30"/>
    <w:rsid w:val="00B22831"/>
    <w:rsid w:val="00B22A0B"/>
    <w:rsid w:val="00B233D8"/>
    <w:rsid w:val="00B24640"/>
    <w:rsid w:val="00B26A52"/>
    <w:rsid w:val="00B26FAD"/>
    <w:rsid w:val="00B27EA8"/>
    <w:rsid w:val="00B3034A"/>
    <w:rsid w:val="00B31A91"/>
    <w:rsid w:val="00B327A5"/>
    <w:rsid w:val="00B33601"/>
    <w:rsid w:val="00B336DE"/>
    <w:rsid w:val="00B33B96"/>
    <w:rsid w:val="00B33D73"/>
    <w:rsid w:val="00B34124"/>
    <w:rsid w:val="00B34A7E"/>
    <w:rsid w:val="00B35E1C"/>
    <w:rsid w:val="00B36E26"/>
    <w:rsid w:val="00B3734F"/>
    <w:rsid w:val="00B41778"/>
    <w:rsid w:val="00B425B0"/>
    <w:rsid w:val="00B432EF"/>
    <w:rsid w:val="00B4346C"/>
    <w:rsid w:val="00B4389C"/>
    <w:rsid w:val="00B43C19"/>
    <w:rsid w:val="00B43F6F"/>
    <w:rsid w:val="00B442CB"/>
    <w:rsid w:val="00B46613"/>
    <w:rsid w:val="00B50019"/>
    <w:rsid w:val="00B52074"/>
    <w:rsid w:val="00B538B1"/>
    <w:rsid w:val="00B539F2"/>
    <w:rsid w:val="00B55DEF"/>
    <w:rsid w:val="00B56B94"/>
    <w:rsid w:val="00B5738B"/>
    <w:rsid w:val="00B57975"/>
    <w:rsid w:val="00B6013A"/>
    <w:rsid w:val="00B60984"/>
    <w:rsid w:val="00B620B2"/>
    <w:rsid w:val="00B63DE1"/>
    <w:rsid w:val="00B6499F"/>
    <w:rsid w:val="00B6551D"/>
    <w:rsid w:val="00B66169"/>
    <w:rsid w:val="00B67512"/>
    <w:rsid w:val="00B70C1A"/>
    <w:rsid w:val="00B70F20"/>
    <w:rsid w:val="00B718D5"/>
    <w:rsid w:val="00B7201D"/>
    <w:rsid w:val="00B74B47"/>
    <w:rsid w:val="00B75689"/>
    <w:rsid w:val="00B766DC"/>
    <w:rsid w:val="00B770CA"/>
    <w:rsid w:val="00B8066C"/>
    <w:rsid w:val="00B80FBD"/>
    <w:rsid w:val="00B820C1"/>
    <w:rsid w:val="00B8232F"/>
    <w:rsid w:val="00B82D34"/>
    <w:rsid w:val="00B834ED"/>
    <w:rsid w:val="00B838B8"/>
    <w:rsid w:val="00B83BB2"/>
    <w:rsid w:val="00B85196"/>
    <w:rsid w:val="00B851DA"/>
    <w:rsid w:val="00B85623"/>
    <w:rsid w:val="00B86B9E"/>
    <w:rsid w:val="00B91293"/>
    <w:rsid w:val="00B912E0"/>
    <w:rsid w:val="00B914A2"/>
    <w:rsid w:val="00B935D0"/>
    <w:rsid w:val="00B93A88"/>
    <w:rsid w:val="00B93EC1"/>
    <w:rsid w:val="00B9402E"/>
    <w:rsid w:val="00B972C4"/>
    <w:rsid w:val="00B97975"/>
    <w:rsid w:val="00B97D9E"/>
    <w:rsid w:val="00BA0A07"/>
    <w:rsid w:val="00BA1A2C"/>
    <w:rsid w:val="00BA2E7A"/>
    <w:rsid w:val="00BA42D2"/>
    <w:rsid w:val="00BA4D09"/>
    <w:rsid w:val="00BA57C4"/>
    <w:rsid w:val="00BA5AF6"/>
    <w:rsid w:val="00BA6345"/>
    <w:rsid w:val="00BA75ED"/>
    <w:rsid w:val="00BB1CD8"/>
    <w:rsid w:val="00BB1F7C"/>
    <w:rsid w:val="00BB386D"/>
    <w:rsid w:val="00BB3D45"/>
    <w:rsid w:val="00BB44C0"/>
    <w:rsid w:val="00BB4C6C"/>
    <w:rsid w:val="00BB6DEA"/>
    <w:rsid w:val="00BB7251"/>
    <w:rsid w:val="00BB73E0"/>
    <w:rsid w:val="00BC0641"/>
    <w:rsid w:val="00BC127B"/>
    <w:rsid w:val="00BC1B58"/>
    <w:rsid w:val="00BC1D34"/>
    <w:rsid w:val="00BC5024"/>
    <w:rsid w:val="00BC66C2"/>
    <w:rsid w:val="00BC6D69"/>
    <w:rsid w:val="00BD03DB"/>
    <w:rsid w:val="00BD0555"/>
    <w:rsid w:val="00BD0675"/>
    <w:rsid w:val="00BD2104"/>
    <w:rsid w:val="00BD3499"/>
    <w:rsid w:val="00BD34DE"/>
    <w:rsid w:val="00BD45D9"/>
    <w:rsid w:val="00BD4942"/>
    <w:rsid w:val="00BD4AD2"/>
    <w:rsid w:val="00BD4E91"/>
    <w:rsid w:val="00BD5256"/>
    <w:rsid w:val="00BD54A8"/>
    <w:rsid w:val="00BD602C"/>
    <w:rsid w:val="00BD77BF"/>
    <w:rsid w:val="00BE0D68"/>
    <w:rsid w:val="00BE1425"/>
    <w:rsid w:val="00BE2551"/>
    <w:rsid w:val="00BE2C38"/>
    <w:rsid w:val="00BE323C"/>
    <w:rsid w:val="00BE4BE9"/>
    <w:rsid w:val="00BE5189"/>
    <w:rsid w:val="00BE694F"/>
    <w:rsid w:val="00BE71C2"/>
    <w:rsid w:val="00BE7B8E"/>
    <w:rsid w:val="00BF0D87"/>
    <w:rsid w:val="00BF257A"/>
    <w:rsid w:val="00BF27D9"/>
    <w:rsid w:val="00BF38E5"/>
    <w:rsid w:val="00BF3C68"/>
    <w:rsid w:val="00BF4619"/>
    <w:rsid w:val="00BF4818"/>
    <w:rsid w:val="00BF61DC"/>
    <w:rsid w:val="00BF656B"/>
    <w:rsid w:val="00BF6D88"/>
    <w:rsid w:val="00C00C8B"/>
    <w:rsid w:val="00C01CE0"/>
    <w:rsid w:val="00C01D07"/>
    <w:rsid w:val="00C02220"/>
    <w:rsid w:val="00C03677"/>
    <w:rsid w:val="00C05CCD"/>
    <w:rsid w:val="00C065AF"/>
    <w:rsid w:val="00C066D0"/>
    <w:rsid w:val="00C0688D"/>
    <w:rsid w:val="00C1035D"/>
    <w:rsid w:val="00C10566"/>
    <w:rsid w:val="00C10B70"/>
    <w:rsid w:val="00C10CC5"/>
    <w:rsid w:val="00C11583"/>
    <w:rsid w:val="00C11A04"/>
    <w:rsid w:val="00C11ADE"/>
    <w:rsid w:val="00C11B2C"/>
    <w:rsid w:val="00C122FA"/>
    <w:rsid w:val="00C14794"/>
    <w:rsid w:val="00C14C58"/>
    <w:rsid w:val="00C150A8"/>
    <w:rsid w:val="00C1592F"/>
    <w:rsid w:val="00C17B22"/>
    <w:rsid w:val="00C204A7"/>
    <w:rsid w:val="00C21E58"/>
    <w:rsid w:val="00C2267F"/>
    <w:rsid w:val="00C22831"/>
    <w:rsid w:val="00C23C60"/>
    <w:rsid w:val="00C23C6C"/>
    <w:rsid w:val="00C23F0D"/>
    <w:rsid w:val="00C244C0"/>
    <w:rsid w:val="00C25606"/>
    <w:rsid w:val="00C25BB5"/>
    <w:rsid w:val="00C262F8"/>
    <w:rsid w:val="00C27162"/>
    <w:rsid w:val="00C27D6F"/>
    <w:rsid w:val="00C306DB"/>
    <w:rsid w:val="00C30795"/>
    <w:rsid w:val="00C30C9D"/>
    <w:rsid w:val="00C30D7D"/>
    <w:rsid w:val="00C317A6"/>
    <w:rsid w:val="00C32782"/>
    <w:rsid w:val="00C32F01"/>
    <w:rsid w:val="00C33373"/>
    <w:rsid w:val="00C333D7"/>
    <w:rsid w:val="00C338F8"/>
    <w:rsid w:val="00C35320"/>
    <w:rsid w:val="00C3649A"/>
    <w:rsid w:val="00C36A1D"/>
    <w:rsid w:val="00C37275"/>
    <w:rsid w:val="00C37B12"/>
    <w:rsid w:val="00C40686"/>
    <w:rsid w:val="00C4180A"/>
    <w:rsid w:val="00C41D34"/>
    <w:rsid w:val="00C42184"/>
    <w:rsid w:val="00C42F23"/>
    <w:rsid w:val="00C43288"/>
    <w:rsid w:val="00C43B68"/>
    <w:rsid w:val="00C43BE9"/>
    <w:rsid w:val="00C44D18"/>
    <w:rsid w:val="00C4520D"/>
    <w:rsid w:val="00C454E8"/>
    <w:rsid w:val="00C45900"/>
    <w:rsid w:val="00C47236"/>
    <w:rsid w:val="00C47BCD"/>
    <w:rsid w:val="00C5003A"/>
    <w:rsid w:val="00C5012D"/>
    <w:rsid w:val="00C50A07"/>
    <w:rsid w:val="00C50A72"/>
    <w:rsid w:val="00C52C28"/>
    <w:rsid w:val="00C53BCB"/>
    <w:rsid w:val="00C54437"/>
    <w:rsid w:val="00C548F3"/>
    <w:rsid w:val="00C54B49"/>
    <w:rsid w:val="00C5553B"/>
    <w:rsid w:val="00C5613B"/>
    <w:rsid w:val="00C566B6"/>
    <w:rsid w:val="00C603DC"/>
    <w:rsid w:val="00C60E14"/>
    <w:rsid w:val="00C60E92"/>
    <w:rsid w:val="00C60F28"/>
    <w:rsid w:val="00C61F60"/>
    <w:rsid w:val="00C61FDD"/>
    <w:rsid w:val="00C64D6C"/>
    <w:rsid w:val="00C66DD4"/>
    <w:rsid w:val="00C6710C"/>
    <w:rsid w:val="00C70BE3"/>
    <w:rsid w:val="00C712EA"/>
    <w:rsid w:val="00C71648"/>
    <w:rsid w:val="00C72FC6"/>
    <w:rsid w:val="00C74A2E"/>
    <w:rsid w:val="00C75679"/>
    <w:rsid w:val="00C75C23"/>
    <w:rsid w:val="00C75C6B"/>
    <w:rsid w:val="00C77413"/>
    <w:rsid w:val="00C77C12"/>
    <w:rsid w:val="00C80161"/>
    <w:rsid w:val="00C840B4"/>
    <w:rsid w:val="00C84FFD"/>
    <w:rsid w:val="00C85E4B"/>
    <w:rsid w:val="00C862C9"/>
    <w:rsid w:val="00C86612"/>
    <w:rsid w:val="00C8698D"/>
    <w:rsid w:val="00C86B1B"/>
    <w:rsid w:val="00C86B63"/>
    <w:rsid w:val="00C87A2B"/>
    <w:rsid w:val="00C90821"/>
    <w:rsid w:val="00C90B20"/>
    <w:rsid w:val="00C928EC"/>
    <w:rsid w:val="00C942A7"/>
    <w:rsid w:val="00C94340"/>
    <w:rsid w:val="00C943B2"/>
    <w:rsid w:val="00C943EC"/>
    <w:rsid w:val="00C944E6"/>
    <w:rsid w:val="00C94DF2"/>
    <w:rsid w:val="00C95494"/>
    <w:rsid w:val="00C957DF"/>
    <w:rsid w:val="00C95BB5"/>
    <w:rsid w:val="00C96B14"/>
    <w:rsid w:val="00C97BBF"/>
    <w:rsid w:val="00CA03FD"/>
    <w:rsid w:val="00CA054A"/>
    <w:rsid w:val="00CA100D"/>
    <w:rsid w:val="00CA18B3"/>
    <w:rsid w:val="00CA1A43"/>
    <w:rsid w:val="00CA26F6"/>
    <w:rsid w:val="00CA2D23"/>
    <w:rsid w:val="00CA371E"/>
    <w:rsid w:val="00CA3C43"/>
    <w:rsid w:val="00CA3FCD"/>
    <w:rsid w:val="00CA441A"/>
    <w:rsid w:val="00CA457B"/>
    <w:rsid w:val="00CA63B4"/>
    <w:rsid w:val="00CA76E3"/>
    <w:rsid w:val="00CA7969"/>
    <w:rsid w:val="00CB3037"/>
    <w:rsid w:val="00CB3379"/>
    <w:rsid w:val="00CB3A47"/>
    <w:rsid w:val="00CB3DB2"/>
    <w:rsid w:val="00CB52EC"/>
    <w:rsid w:val="00CB555A"/>
    <w:rsid w:val="00CB56F4"/>
    <w:rsid w:val="00CB5C66"/>
    <w:rsid w:val="00CB6160"/>
    <w:rsid w:val="00CB61DE"/>
    <w:rsid w:val="00CB6256"/>
    <w:rsid w:val="00CB7A2F"/>
    <w:rsid w:val="00CB7C21"/>
    <w:rsid w:val="00CB7C58"/>
    <w:rsid w:val="00CC031F"/>
    <w:rsid w:val="00CC108F"/>
    <w:rsid w:val="00CC1775"/>
    <w:rsid w:val="00CC1803"/>
    <w:rsid w:val="00CC21CC"/>
    <w:rsid w:val="00CC30FD"/>
    <w:rsid w:val="00CC31A6"/>
    <w:rsid w:val="00CC444F"/>
    <w:rsid w:val="00CC50C4"/>
    <w:rsid w:val="00CC5912"/>
    <w:rsid w:val="00CC5B07"/>
    <w:rsid w:val="00CC5C2E"/>
    <w:rsid w:val="00CC6BCE"/>
    <w:rsid w:val="00CC71BD"/>
    <w:rsid w:val="00CC7590"/>
    <w:rsid w:val="00CC78AA"/>
    <w:rsid w:val="00CD112C"/>
    <w:rsid w:val="00CD1663"/>
    <w:rsid w:val="00CD1D89"/>
    <w:rsid w:val="00CD2D7C"/>
    <w:rsid w:val="00CD3713"/>
    <w:rsid w:val="00CD38E9"/>
    <w:rsid w:val="00CD3AF2"/>
    <w:rsid w:val="00CD699E"/>
    <w:rsid w:val="00CD6F1B"/>
    <w:rsid w:val="00CD7627"/>
    <w:rsid w:val="00CD7DA2"/>
    <w:rsid w:val="00CE03F5"/>
    <w:rsid w:val="00CE1A7A"/>
    <w:rsid w:val="00CE2311"/>
    <w:rsid w:val="00CE2C6D"/>
    <w:rsid w:val="00CE3C83"/>
    <w:rsid w:val="00CE43E8"/>
    <w:rsid w:val="00CE532D"/>
    <w:rsid w:val="00CE5F59"/>
    <w:rsid w:val="00CE6116"/>
    <w:rsid w:val="00CE615E"/>
    <w:rsid w:val="00CE626D"/>
    <w:rsid w:val="00CE6515"/>
    <w:rsid w:val="00CE65CA"/>
    <w:rsid w:val="00CE65D8"/>
    <w:rsid w:val="00CE7CCF"/>
    <w:rsid w:val="00CE7F8C"/>
    <w:rsid w:val="00CF1043"/>
    <w:rsid w:val="00CF2E71"/>
    <w:rsid w:val="00CF32D1"/>
    <w:rsid w:val="00CF3C63"/>
    <w:rsid w:val="00CF417A"/>
    <w:rsid w:val="00CF41EF"/>
    <w:rsid w:val="00CF4680"/>
    <w:rsid w:val="00CF4ECF"/>
    <w:rsid w:val="00CF592A"/>
    <w:rsid w:val="00CF5A22"/>
    <w:rsid w:val="00CF5D7A"/>
    <w:rsid w:val="00CF6019"/>
    <w:rsid w:val="00CF605C"/>
    <w:rsid w:val="00D0045B"/>
    <w:rsid w:val="00D009F7"/>
    <w:rsid w:val="00D00C25"/>
    <w:rsid w:val="00D01ABE"/>
    <w:rsid w:val="00D02129"/>
    <w:rsid w:val="00D0240A"/>
    <w:rsid w:val="00D0312F"/>
    <w:rsid w:val="00D045DE"/>
    <w:rsid w:val="00D048F8"/>
    <w:rsid w:val="00D04A0C"/>
    <w:rsid w:val="00D04F63"/>
    <w:rsid w:val="00D0553C"/>
    <w:rsid w:val="00D05A85"/>
    <w:rsid w:val="00D06461"/>
    <w:rsid w:val="00D0797F"/>
    <w:rsid w:val="00D10A1B"/>
    <w:rsid w:val="00D11982"/>
    <w:rsid w:val="00D12F97"/>
    <w:rsid w:val="00D13937"/>
    <w:rsid w:val="00D140AB"/>
    <w:rsid w:val="00D140EB"/>
    <w:rsid w:val="00D148E3"/>
    <w:rsid w:val="00D150D3"/>
    <w:rsid w:val="00D15679"/>
    <w:rsid w:val="00D16156"/>
    <w:rsid w:val="00D165B8"/>
    <w:rsid w:val="00D16E75"/>
    <w:rsid w:val="00D1784C"/>
    <w:rsid w:val="00D17A5C"/>
    <w:rsid w:val="00D17C42"/>
    <w:rsid w:val="00D17FE9"/>
    <w:rsid w:val="00D20583"/>
    <w:rsid w:val="00D2148D"/>
    <w:rsid w:val="00D21C16"/>
    <w:rsid w:val="00D242E4"/>
    <w:rsid w:val="00D24FB2"/>
    <w:rsid w:val="00D25D13"/>
    <w:rsid w:val="00D25ED9"/>
    <w:rsid w:val="00D26037"/>
    <w:rsid w:val="00D2613C"/>
    <w:rsid w:val="00D27A7B"/>
    <w:rsid w:val="00D3045C"/>
    <w:rsid w:val="00D31734"/>
    <w:rsid w:val="00D325CA"/>
    <w:rsid w:val="00D327F3"/>
    <w:rsid w:val="00D32B5F"/>
    <w:rsid w:val="00D33928"/>
    <w:rsid w:val="00D34ADF"/>
    <w:rsid w:val="00D353B3"/>
    <w:rsid w:val="00D355CC"/>
    <w:rsid w:val="00D35B63"/>
    <w:rsid w:val="00D35D3F"/>
    <w:rsid w:val="00D35EFB"/>
    <w:rsid w:val="00D35F14"/>
    <w:rsid w:val="00D36FAB"/>
    <w:rsid w:val="00D3707A"/>
    <w:rsid w:val="00D373D5"/>
    <w:rsid w:val="00D373EB"/>
    <w:rsid w:val="00D40F7D"/>
    <w:rsid w:val="00D415DC"/>
    <w:rsid w:val="00D421BA"/>
    <w:rsid w:val="00D424ED"/>
    <w:rsid w:val="00D429F8"/>
    <w:rsid w:val="00D42AF2"/>
    <w:rsid w:val="00D43014"/>
    <w:rsid w:val="00D43420"/>
    <w:rsid w:val="00D434F5"/>
    <w:rsid w:val="00D4491A"/>
    <w:rsid w:val="00D4631B"/>
    <w:rsid w:val="00D46608"/>
    <w:rsid w:val="00D50342"/>
    <w:rsid w:val="00D51E2C"/>
    <w:rsid w:val="00D5233D"/>
    <w:rsid w:val="00D545D8"/>
    <w:rsid w:val="00D54A6A"/>
    <w:rsid w:val="00D557B6"/>
    <w:rsid w:val="00D567BC"/>
    <w:rsid w:val="00D56B83"/>
    <w:rsid w:val="00D56F65"/>
    <w:rsid w:val="00D6036E"/>
    <w:rsid w:val="00D6077D"/>
    <w:rsid w:val="00D60B2A"/>
    <w:rsid w:val="00D60FC0"/>
    <w:rsid w:val="00D61050"/>
    <w:rsid w:val="00D61A68"/>
    <w:rsid w:val="00D6238A"/>
    <w:rsid w:val="00D626FF"/>
    <w:rsid w:val="00D6293D"/>
    <w:rsid w:val="00D62E67"/>
    <w:rsid w:val="00D62FF2"/>
    <w:rsid w:val="00D63BC3"/>
    <w:rsid w:val="00D64190"/>
    <w:rsid w:val="00D6451E"/>
    <w:rsid w:val="00D65C7B"/>
    <w:rsid w:val="00D66969"/>
    <w:rsid w:val="00D67C45"/>
    <w:rsid w:val="00D704BF"/>
    <w:rsid w:val="00D71D56"/>
    <w:rsid w:val="00D72092"/>
    <w:rsid w:val="00D73232"/>
    <w:rsid w:val="00D73325"/>
    <w:rsid w:val="00D73397"/>
    <w:rsid w:val="00D73E33"/>
    <w:rsid w:val="00D75203"/>
    <w:rsid w:val="00D762F2"/>
    <w:rsid w:val="00D76B47"/>
    <w:rsid w:val="00D77A0B"/>
    <w:rsid w:val="00D80506"/>
    <w:rsid w:val="00D80567"/>
    <w:rsid w:val="00D81268"/>
    <w:rsid w:val="00D824D1"/>
    <w:rsid w:val="00D82D7D"/>
    <w:rsid w:val="00D83F43"/>
    <w:rsid w:val="00D84884"/>
    <w:rsid w:val="00D84A0A"/>
    <w:rsid w:val="00D85EC6"/>
    <w:rsid w:val="00D86A65"/>
    <w:rsid w:val="00D86B17"/>
    <w:rsid w:val="00D86C9A"/>
    <w:rsid w:val="00D877AD"/>
    <w:rsid w:val="00D87A79"/>
    <w:rsid w:val="00D908BE"/>
    <w:rsid w:val="00D91699"/>
    <w:rsid w:val="00D9177F"/>
    <w:rsid w:val="00D91798"/>
    <w:rsid w:val="00D9188C"/>
    <w:rsid w:val="00D928EA"/>
    <w:rsid w:val="00D92D83"/>
    <w:rsid w:val="00D92F4A"/>
    <w:rsid w:val="00D93A6B"/>
    <w:rsid w:val="00D93FD9"/>
    <w:rsid w:val="00D94330"/>
    <w:rsid w:val="00D94AC1"/>
    <w:rsid w:val="00D950A2"/>
    <w:rsid w:val="00D970C4"/>
    <w:rsid w:val="00DA00AA"/>
    <w:rsid w:val="00DA0272"/>
    <w:rsid w:val="00DA0DF6"/>
    <w:rsid w:val="00DA17E2"/>
    <w:rsid w:val="00DA28D3"/>
    <w:rsid w:val="00DA2A9D"/>
    <w:rsid w:val="00DA40E4"/>
    <w:rsid w:val="00DA4253"/>
    <w:rsid w:val="00DA495F"/>
    <w:rsid w:val="00DA5B64"/>
    <w:rsid w:val="00DB02B9"/>
    <w:rsid w:val="00DB0B0D"/>
    <w:rsid w:val="00DB0D83"/>
    <w:rsid w:val="00DB1B7D"/>
    <w:rsid w:val="00DB327F"/>
    <w:rsid w:val="00DB3C40"/>
    <w:rsid w:val="00DB4A20"/>
    <w:rsid w:val="00DB6634"/>
    <w:rsid w:val="00DC0CFE"/>
    <w:rsid w:val="00DC104D"/>
    <w:rsid w:val="00DC13E6"/>
    <w:rsid w:val="00DC2B50"/>
    <w:rsid w:val="00DC2E07"/>
    <w:rsid w:val="00DC3F6D"/>
    <w:rsid w:val="00DC5086"/>
    <w:rsid w:val="00DC610D"/>
    <w:rsid w:val="00DD0535"/>
    <w:rsid w:val="00DD0BD5"/>
    <w:rsid w:val="00DD0E86"/>
    <w:rsid w:val="00DD1022"/>
    <w:rsid w:val="00DD1CEA"/>
    <w:rsid w:val="00DD1E7B"/>
    <w:rsid w:val="00DD2006"/>
    <w:rsid w:val="00DD2B18"/>
    <w:rsid w:val="00DD4678"/>
    <w:rsid w:val="00DD4916"/>
    <w:rsid w:val="00DD4AA9"/>
    <w:rsid w:val="00DD4C85"/>
    <w:rsid w:val="00DD4E6F"/>
    <w:rsid w:val="00DD4F7A"/>
    <w:rsid w:val="00DD5AAE"/>
    <w:rsid w:val="00DD5C66"/>
    <w:rsid w:val="00DD687C"/>
    <w:rsid w:val="00DD7368"/>
    <w:rsid w:val="00DD740D"/>
    <w:rsid w:val="00DD7A03"/>
    <w:rsid w:val="00DD7B4F"/>
    <w:rsid w:val="00DE0C37"/>
    <w:rsid w:val="00DE0E1E"/>
    <w:rsid w:val="00DE10AB"/>
    <w:rsid w:val="00DE1158"/>
    <w:rsid w:val="00DE46FC"/>
    <w:rsid w:val="00DE5637"/>
    <w:rsid w:val="00DE5C03"/>
    <w:rsid w:val="00DE6F9B"/>
    <w:rsid w:val="00DE7672"/>
    <w:rsid w:val="00DE7F78"/>
    <w:rsid w:val="00DF00B7"/>
    <w:rsid w:val="00DF0C4F"/>
    <w:rsid w:val="00DF0D3E"/>
    <w:rsid w:val="00DF0E13"/>
    <w:rsid w:val="00DF166C"/>
    <w:rsid w:val="00DF1F3F"/>
    <w:rsid w:val="00DF21D7"/>
    <w:rsid w:val="00DF2CB6"/>
    <w:rsid w:val="00DF4140"/>
    <w:rsid w:val="00DF4705"/>
    <w:rsid w:val="00DF50C0"/>
    <w:rsid w:val="00DF5381"/>
    <w:rsid w:val="00DF58A1"/>
    <w:rsid w:val="00DF6311"/>
    <w:rsid w:val="00DF6E42"/>
    <w:rsid w:val="00DF72F0"/>
    <w:rsid w:val="00DF7C56"/>
    <w:rsid w:val="00DF7D72"/>
    <w:rsid w:val="00E00C20"/>
    <w:rsid w:val="00E0183A"/>
    <w:rsid w:val="00E0241D"/>
    <w:rsid w:val="00E0298B"/>
    <w:rsid w:val="00E02E45"/>
    <w:rsid w:val="00E03977"/>
    <w:rsid w:val="00E03A23"/>
    <w:rsid w:val="00E04903"/>
    <w:rsid w:val="00E06228"/>
    <w:rsid w:val="00E0650F"/>
    <w:rsid w:val="00E0679F"/>
    <w:rsid w:val="00E0694D"/>
    <w:rsid w:val="00E06A14"/>
    <w:rsid w:val="00E06E92"/>
    <w:rsid w:val="00E07452"/>
    <w:rsid w:val="00E103DF"/>
    <w:rsid w:val="00E11234"/>
    <w:rsid w:val="00E1347B"/>
    <w:rsid w:val="00E139C4"/>
    <w:rsid w:val="00E14256"/>
    <w:rsid w:val="00E14729"/>
    <w:rsid w:val="00E14C5A"/>
    <w:rsid w:val="00E160D2"/>
    <w:rsid w:val="00E16765"/>
    <w:rsid w:val="00E17AE0"/>
    <w:rsid w:val="00E17EAB"/>
    <w:rsid w:val="00E17EE9"/>
    <w:rsid w:val="00E2011F"/>
    <w:rsid w:val="00E20DC3"/>
    <w:rsid w:val="00E23F52"/>
    <w:rsid w:val="00E2488F"/>
    <w:rsid w:val="00E24C89"/>
    <w:rsid w:val="00E25E98"/>
    <w:rsid w:val="00E2796B"/>
    <w:rsid w:val="00E30079"/>
    <w:rsid w:val="00E30453"/>
    <w:rsid w:val="00E30766"/>
    <w:rsid w:val="00E30D16"/>
    <w:rsid w:val="00E3178B"/>
    <w:rsid w:val="00E31931"/>
    <w:rsid w:val="00E32E8B"/>
    <w:rsid w:val="00E330CA"/>
    <w:rsid w:val="00E33CAA"/>
    <w:rsid w:val="00E33CEA"/>
    <w:rsid w:val="00E33D08"/>
    <w:rsid w:val="00E355D4"/>
    <w:rsid w:val="00E408A1"/>
    <w:rsid w:val="00E40D05"/>
    <w:rsid w:val="00E41128"/>
    <w:rsid w:val="00E41F92"/>
    <w:rsid w:val="00E426A2"/>
    <w:rsid w:val="00E42DD5"/>
    <w:rsid w:val="00E438B1"/>
    <w:rsid w:val="00E43A06"/>
    <w:rsid w:val="00E43B5F"/>
    <w:rsid w:val="00E43E28"/>
    <w:rsid w:val="00E44119"/>
    <w:rsid w:val="00E44F60"/>
    <w:rsid w:val="00E44F6E"/>
    <w:rsid w:val="00E45FD3"/>
    <w:rsid w:val="00E46CCD"/>
    <w:rsid w:val="00E47F8B"/>
    <w:rsid w:val="00E50255"/>
    <w:rsid w:val="00E505A8"/>
    <w:rsid w:val="00E50904"/>
    <w:rsid w:val="00E5154B"/>
    <w:rsid w:val="00E51658"/>
    <w:rsid w:val="00E51D44"/>
    <w:rsid w:val="00E528AF"/>
    <w:rsid w:val="00E54104"/>
    <w:rsid w:val="00E55438"/>
    <w:rsid w:val="00E56C8F"/>
    <w:rsid w:val="00E604CF"/>
    <w:rsid w:val="00E60C70"/>
    <w:rsid w:val="00E60E35"/>
    <w:rsid w:val="00E61DFD"/>
    <w:rsid w:val="00E6324E"/>
    <w:rsid w:val="00E64BA4"/>
    <w:rsid w:val="00E6581A"/>
    <w:rsid w:val="00E66026"/>
    <w:rsid w:val="00E66606"/>
    <w:rsid w:val="00E67ABD"/>
    <w:rsid w:val="00E7048C"/>
    <w:rsid w:val="00E705F2"/>
    <w:rsid w:val="00E724FD"/>
    <w:rsid w:val="00E72ACF"/>
    <w:rsid w:val="00E73A32"/>
    <w:rsid w:val="00E73D91"/>
    <w:rsid w:val="00E75D44"/>
    <w:rsid w:val="00E763E4"/>
    <w:rsid w:val="00E76A76"/>
    <w:rsid w:val="00E76DC3"/>
    <w:rsid w:val="00E77047"/>
    <w:rsid w:val="00E80D74"/>
    <w:rsid w:val="00E82C0F"/>
    <w:rsid w:val="00E8315E"/>
    <w:rsid w:val="00E845E7"/>
    <w:rsid w:val="00E84BF7"/>
    <w:rsid w:val="00E857AF"/>
    <w:rsid w:val="00E8712E"/>
    <w:rsid w:val="00E9020D"/>
    <w:rsid w:val="00E90E25"/>
    <w:rsid w:val="00E936EB"/>
    <w:rsid w:val="00E93A0B"/>
    <w:rsid w:val="00E94465"/>
    <w:rsid w:val="00E94513"/>
    <w:rsid w:val="00E94B8A"/>
    <w:rsid w:val="00E96059"/>
    <w:rsid w:val="00E96E02"/>
    <w:rsid w:val="00E97FCE"/>
    <w:rsid w:val="00EA0211"/>
    <w:rsid w:val="00EA0403"/>
    <w:rsid w:val="00EA2917"/>
    <w:rsid w:val="00EA2A9D"/>
    <w:rsid w:val="00EA4553"/>
    <w:rsid w:val="00EA55CD"/>
    <w:rsid w:val="00EA5D7D"/>
    <w:rsid w:val="00EA6D88"/>
    <w:rsid w:val="00EB15BF"/>
    <w:rsid w:val="00EB1FA1"/>
    <w:rsid w:val="00EB1FB2"/>
    <w:rsid w:val="00EB267B"/>
    <w:rsid w:val="00EB2E01"/>
    <w:rsid w:val="00EB32D1"/>
    <w:rsid w:val="00EB3930"/>
    <w:rsid w:val="00EB3C19"/>
    <w:rsid w:val="00EB4C82"/>
    <w:rsid w:val="00EB4D74"/>
    <w:rsid w:val="00EB5287"/>
    <w:rsid w:val="00EB6042"/>
    <w:rsid w:val="00EB651A"/>
    <w:rsid w:val="00EB671F"/>
    <w:rsid w:val="00EC05BF"/>
    <w:rsid w:val="00EC08D9"/>
    <w:rsid w:val="00EC16F7"/>
    <w:rsid w:val="00EC19A5"/>
    <w:rsid w:val="00EC19B3"/>
    <w:rsid w:val="00EC1FBE"/>
    <w:rsid w:val="00EC3C0A"/>
    <w:rsid w:val="00EC48D3"/>
    <w:rsid w:val="00EC5C6A"/>
    <w:rsid w:val="00EC6AFB"/>
    <w:rsid w:val="00ED0386"/>
    <w:rsid w:val="00ED0578"/>
    <w:rsid w:val="00ED159D"/>
    <w:rsid w:val="00ED2130"/>
    <w:rsid w:val="00ED2967"/>
    <w:rsid w:val="00ED42E4"/>
    <w:rsid w:val="00ED44A2"/>
    <w:rsid w:val="00ED4CA9"/>
    <w:rsid w:val="00ED50D0"/>
    <w:rsid w:val="00ED605C"/>
    <w:rsid w:val="00ED671A"/>
    <w:rsid w:val="00ED774E"/>
    <w:rsid w:val="00EE0994"/>
    <w:rsid w:val="00EE0E55"/>
    <w:rsid w:val="00EE0F57"/>
    <w:rsid w:val="00EE14E7"/>
    <w:rsid w:val="00EE2165"/>
    <w:rsid w:val="00EE271B"/>
    <w:rsid w:val="00EE32F1"/>
    <w:rsid w:val="00EE3DC1"/>
    <w:rsid w:val="00EE4001"/>
    <w:rsid w:val="00EE42C3"/>
    <w:rsid w:val="00EE4334"/>
    <w:rsid w:val="00EE436C"/>
    <w:rsid w:val="00EE5330"/>
    <w:rsid w:val="00EE6A07"/>
    <w:rsid w:val="00EE7112"/>
    <w:rsid w:val="00EE717F"/>
    <w:rsid w:val="00EF0119"/>
    <w:rsid w:val="00EF03EB"/>
    <w:rsid w:val="00EF0B3B"/>
    <w:rsid w:val="00EF0B85"/>
    <w:rsid w:val="00EF0DBA"/>
    <w:rsid w:val="00EF1D1C"/>
    <w:rsid w:val="00EF235B"/>
    <w:rsid w:val="00EF2D89"/>
    <w:rsid w:val="00EF356A"/>
    <w:rsid w:val="00EF422A"/>
    <w:rsid w:val="00EF54FC"/>
    <w:rsid w:val="00EF58AA"/>
    <w:rsid w:val="00EF6219"/>
    <w:rsid w:val="00EF67FB"/>
    <w:rsid w:val="00EF7509"/>
    <w:rsid w:val="00EF75EE"/>
    <w:rsid w:val="00EF789C"/>
    <w:rsid w:val="00F00B44"/>
    <w:rsid w:val="00F00C38"/>
    <w:rsid w:val="00F00EEB"/>
    <w:rsid w:val="00F0132F"/>
    <w:rsid w:val="00F040BB"/>
    <w:rsid w:val="00F04824"/>
    <w:rsid w:val="00F04DED"/>
    <w:rsid w:val="00F060C0"/>
    <w:rsid w:val="00F07342"/>
    <w:rsid w:val="00F076C2"/>
    <w:rsid w:val="00F107C6"/>
    <w:rsid w:val="00F11651"/>
    <w:rsid w:val="00F12061"/>
    <w:rsid w:val="00F12E4A"/>
    <w:rsid w:val="00F137D2"/>
    <w:rsid w:val="00F13837"/>
    <w:rsid w:val="00F144A6"/>
    <w:rsid w:val="00F14E57"/>
    <w:rsid w:val="00F150BD"/>
    <w:rsid w:val="00F15288"/>
    <w:rsid w:val="00F15B0A"/>
    <w:rsid w:val="00F16816"/>
    <w:rsid w:val="00F174DF"/>
    <w:rsid w:val="00F17760"/>
    <w:rsid w:val="00F17ED0"/>
    <w:rsid w:val="00F209A7"/>
    <w:rsid w:val="00F22112"/>
    <w:rsid w:val="00F22A15"/>
    <w:rsid w:val="00F24C03"/>
    <w:rsid w:val="00F24F80"/>
    <w:rsid w:val="00F2501A"/>
    <w:rsid w:val="00F2524A"/>
    <w:rsid w:val="00F25A34"/>
    <w:rsid w:val="00F25A98"/>
    <w:rsid w:val="00F25D45"/>
    <w:rsid w:val="00F26382"/>
    <w:rsid w:val="00F26569"/>
    <w:rsid w:val="00F27138"/>
    <w:rsid w:val="00F27208"/>
    <w:rsid w:val="00F301C3"/>
    <w:rsid w:val="00F30712"/>
    <w:rsid w:val="00F30E66"/>
    <w:rsid w:val="00F315AC"/>
    <w:rsid w:val="00F324C8"/>
    <w:rsid w:val="00F34425"/>
    <w:rsid w:val="00F351D2"/>
    <w:rsid w:val="00F36318"/>
    <w:rsid w:val="00F36374"/>
    <w:rsid w:val="00F36704"/>
    <w:rsid w:val="00F37168"/>
    <w:rsid w:val="00F41BCD"/>
    <w:rsid w:val="00F42205"/>
    <w:rsid w:val="00F429EE"/>
    <w:rsid w:val="00F4424C"/>
    <w:rsid w:val="00F442B0"/>
    <w:rsid w:val="00F44C25"/>
    <w:rsid w:val="00F451C0"/>
    <w:rsid w:val="00F452E8"/>
    <w:rsid w:val="00F454B9"/>
    <w:rsid w:val="00F456DB"/>
    <w:rsid w:val="00F4577E"/>
    <w:rsid w:val="00F45F2D"/>
    <w:rsid w:val="00F471B7"/>
    <w:rsid w:val="00F47322"/>
    <w:rsid w:val="00F502EB"/>
    <w:rsid w:val="00F563E2"/>
    <w:rsid w:val="00F5643A"/>
    <w:rsid w:val="00F56BD6"/>
    <w:rsid w:val="00F56DD8"/>
    <w:rsid w:val="00F5719B"/>
    <w:rsid w:val="00F576DA"/>
    <w:rsid w:val="00F579BD"/>
    <w:rsid w:val="00F600AC"/>
    <w:rsid w:val="00F620EA"/>
    <w:rsid w:val="00F62998"/>
    <w:rsid w:val="00F63034"/>
    <w:rsid w:val="00F63117"/>
    <w:rsid w:val="00F632A3"/>
    <w:rsid w:val="00F6332E"/>
    <w:rsid w:val="00F6341C"/>
    <w:rsid w:val="00F6439D"/>
    <w:rsid w:val="00F64543"/>
    <w:rsid w:val="00F650D6"/>
    <w:rsid w:val="00F65BBD"/>
    <w:rsid w:val="00F6655E"/>
    <w:rsid w:val="00F66C79"/>
    <w:rsid w:val="00F66DEC"/>
    <w:rsid w:val="00F677BC"/>
    <w:rsid w:val="00F70046"/>
    <w:rsid w:val="00F71EE1"/>
    <w:rsid w:val="00F72A87"/>
    <w:rsid w:val="00F72C76"/>
    <w:rsid w:val="00F74B44"/>
    <w:rsid w:val="00F74EEB"/>
    <w:rsid w:val="00F74F60"/>
    <w:rsid w:val="00F75254"/>
    <w:rsid w:val="00F75820"/>
    <w:rsid w:val="00F7633A"/>
    <w:rsid w:val="00F7636A"/>
    <w:rsid w:val="00F76C87"/>
    <w:rsid w:val="00F76CBC"/>
    <w:rsid w:val="00F77361"/>
    <w:rsid w:val="00F778C4"/>
    <w:rsid w:val="00F77D33"/>
    <w:rsid w:val="00F80587"/>
    <w:rsid w:val="00F81923"/>
    <w:rsid w:val="00F824FB"/>
    <w:rsid w:val="00F82D42"/>
    <w:rsid w:val="00F82FD9"/>
    <w:rsid w:val="00F8339C"/>
    <w:rsid w:val="00F8423A"/>
    <w:rsid w:val="00F853A4"/>
    <w:rsid w:val="00F85473"/>
    <w:rsid w:val="00F8597A"/>
    <w:rsid w:val="00F85CFF"/>
    <w:rsid w:val="00F86614"/>
    <w:rsid w:val="00F86CFD"/>
    <w:rsid w:val="00F87DCF"/>
    <w:rsid w:val="00F909A2"/>
    <w:rsid w:val="00F90D87"/>
    <w:rsid w:val="00F918A8"/>
    <w:rsid w:val="00F9351F"/>
    <w:rsid w:val="00F9438D"/>
    <w:rsid w:val="00F959FB"/>
    <w:rsid w:val="00F95A8A"/>
    <w:rsid w:val="00F961B1"/>
    <w:rsid w:val="00F975B8"/>
    <w:rsid w:val="00FA0892"/>
    <w:rsid w:val="00FA0A5D"/>
    <w:rsid w:val="00FA0FFB"/>
    <w:rsid w:val="00FA1567"/>
    <w:rsid w:val="00FA1EA3"/>
    <w:rsid w:val="00FA38A4"/>
    <w:rsid w:val="00FA52AB"/>
    <w:rsid w:val="00FA5464"/>
    <w:rsid w:val="00FA5BD0"/>
    <w:rsid w:val="00FA6D9D"/>
    <w:rsid w:val="00FA778D"/>
    <w:rsid w:val="00FA7AF1"/>
    <w:rsid w:val="00FA7B92"/>
    <w:rsid w:val="00FB00FC"/>
    <w:rsid w:val="00FB0276"/>
    <w:rsid w:val="00FB0706"/>
    <w:rsid w:val="00FB0F8E"/>
    <w:rsid w:val="00FB1B98"/>
    <w:rsid w:val="00FB1F8E"/>
    <w:rsid w:val="00FB20D9"/>
    <w:rsid w:val="00FB245A"/>
    <w:rsid w:val="00FB251B"/>
    <w:rsid w:val="00FB2C45"/>
    <w:rsid w:val="00FB34A6"/>
    <w:rsid w:val="00FB370C"/>
    <w:rsid w:val="00FB3C92"/>
    <w:rsid w:val="00FB44DB"/>
    <w:rsid w:val="00FB5A36"/>
    <w:rsid w:val="00FB69BB"/>
    <w:rsid w:val="00FB6A3C"/>
    <w:rsid w:val="00FB7C2F"/>
    <w:rsid w:val="00FB7CB4"/>
    <w:rsid w:val="00FC00B7"/>
    <w:rsid w:val="00FC1351"/>
    <w:rsid w:val="00FC13D3"/>
    <w:rsid w:val="00FC181C"/>
    <w:rsid w:val="00FC1C59"/>
    <w:rsid w:val="00FC5B02"/>
    <w:rsid w:val="00FC60BC"/>
    <w:rsid w:val="00FC6657"/>
    <w:rsid w:val="00FC699A"/>
    <w:rsid w:val="00FD138C"/>
    <w:rsid w:val="00FD18C5"/>
    <w:rsid w:val="00FD1F4F"/>
    <w:rsid w:val="00FD3AB1"/>
    <w:rsid w:val="00FD448A"/>
    <w:rsid w:val="00FD44B4"/>
    <w:rsid w:val="00FD4E8C"/>
    <w:rsid w:val="00FD4F74"/>
    <w:rsid w:val="00FD4FF4"/>
    <w:rsid w:val="00FD59D0"/>
    <w:rsid w:val="00FD6139"/>
    <w:rsid w:val="00FD6BD9"/>
    <w:rsid w:val="00FD6EAF"/>
    <w:rsid w:val="00FD7148"/>
    <w:rsid w:val="00FD750C"/>
    <w:rsid w:val="00FD7E63"/>
    <w:rsid w:val="00FE0640"/>
    <w:rsid w:val="00FE089E"/>
    <w:rsid w:val="00FE0976"/>
    <w:rsid w:val="00FE14B7"/>
    <w:rsid w:val="00FE3E85"/>
    <w:rsid w:val="00FE4C31"/>
    <w:rsid w:val="00FE5028"/>
    <w:rsid w:val="00FE53C5"/>
    <w:rsid w:val="00FE6B48"/>
    <w:rsid w:val="00FE70CE"/>
    <w:rsid w:val="00FE7824"/>
    <w:rsid w:val="00FE7885"/>
    <w:rsid w:val="00FF20BA"/>
    <w:rsid w:val="00FF3A4C"/>
    <w:rsid w:val="00FF3BF6"/>
    <w:rsid w:val="00FF3C01"/>
    <w:rsid w:val="00FF4553"/>
    <w:rsid w:val="00FF4D02"/>
    <w:rsid w:val="00FF546C"/>
    <w:rsid w:val="00FF58B2"/>
    <w:rsid w:val="00FF59C7"/>
    <w:rsid w:val="00FF670E"/>
    <w:rsid w:val="00FF6737"/>
    <w:rsid w:val="00FF7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F5B"/>
    <w:pPr>
      <w:spacing w:after="240"/>
      <w:jc w:val="both"/>
    </w:pPr>
    <w:rPr>
      <w:sz w:val="24"/>
      <w:lang w:eastAsia="en-US"/>
    </w:rPr>
  </w:style>
  <w:style w:type="paragraph" w:styleId="Heading1">
    <w:name w:val="heading 1"/>
    <w:basedOn w:val="Normal"/>
    <w:next w:val="Text1"/>
    <w:qFormat/>
    <w:rsid w:val="009021D8"/>
    <w:pPr>
      <w:keepNext/>
      <w:spacing w:before="240"/>
      <w:outlineLvl w:val="0"/>
    </w:pPr>
    <w:rPr>
      <w:b/>
      <w:smallCaps/>
    </w:rPr>
  </w:style>
  <w:style w:type="paragraph" w:styleId="Heading2">
    <w:name w:val="heading 2"/>
    <w:basedOn w:val="Normal"/>
    <w:next w:val="Text2"/>
    <w:qFormat/>
    <w:rsid w:val="009021D8"/>
    <w:pPr>
      <w:keepNext/>
      <w:ind w:left="480"/>
      <w:outlineLvl w:val="1"/>
    </w:pPr>
    <w:rPr>
      <w:b/>
    </w:rPr>
  </w:style>
  <w:style w:type="paragraph" w:styleId="Heading3">
    <w:name w:val="heading 3"/>
    <w:basedOn w:val="Normal"/>
    <w:next w:val="Text3"/>
    <w:qFormat/>
    <w:rsid w:val="009021D8"/>
    <w:pPr>
      <w:keepNext/>
      <w:ind w:left="1080"/>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semiHidden/>
    <w:rPr>
      <w:sz w:val="20"/>
      <w:lang w:val="x-none"/>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uiPriority w:val="99"/>
    <w:pPr>
      <w:ind w:left="357" w:hanging="357"/>
    </w:pPr>
    <w:rPr>
      <w:sz w:val="20"/>
      <w:lang w:val="x-none"/>
    </w:rPr>
  </w:style>
  <w:style w:type="paragraph" w:styleId="Header">
    <w:name w:val="header"/>
    <w:basedOn w:val="Normal"/>
    <w:link w:val="HeaderChar"/>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tabs>
        <w:tab w:val="clear" w:pos="851"/>
        <w:tab w:val="num" w:pos="709"/>
      </w:tabs>
      <w:ind w:left="709"/>
    </w:pPr>
  </w:style>
  <w:style w:type="paragraph" w:styleId="ListNumber2">
    <w:name w:val="List Number 2"/>
    <w:basedOn w:val="Text2"/>
    <w:pPr>
      <w:numPr>
        <w:numId w:val="15"/>
      </w:numPr>
      <w:tabs>
        <w:tab w:val="clear" w:pos="2160"/>
      </w:tabs>
    </w:pPr>
  </w:style>
  <w:style w:type="paragraph" w:styleId="ListNumber3">
    <w:name w:val="List Number 3"/>
    <w:basedOn w:val="Text3"/>
    <w:pPr>
      <w:numPr>
        <w:numId w:val="16"/>
      </w:numPr>
      <w:tabs>
        <w:tab w:val="clear" w:pos="2302"/>
      </w:tabs>
    </w:pPr>
  </w:style>
  <w:style w:type="paragraph" w:styleId="ListNumber4">
    <w:name w:val="List Number 4"/>
    <w:basedOn w:val="Text4"/>
    <w:pPr>
      <w:numPr>
        <w:numId w:val="17"/>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9"/>
      </w:numPr>
    </w:pPr>
  </w:style>
  <w:style w:type="paragraph" w:customStyle="1" w:styleId="ListNumberLevel3">
    <w:name w:val="List Number (Level 3)"/>
    <w:basedOn w:val="Normal"/>
    <w:pPr>
      <w:numPr>
        <w:ilvl w:val="2"/>
        <w:numId w:val="19"/>
      </w:numPr>
    </w:pPr>
  </w:style>
  <w:style w:type="paragraph" w:customStyle="1" w:styleId="ListNumberLevel4">
    <w:name w:val="List Number (Level 4)"/>
    <w:basedOn w:val="Normal"/>
    <w:pPr>
      <w:numPr>
        <w:ilvl w:val="3"/>
        <w:numId w:val="19"/>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pPr>
  </w:style>
  <w:style w:type="paragraph" w:customStyle="1" w:styleId="ListNumber1Level3">
    <w:name w:val="List Number 1 (Level 3)"/>
    <w:basedOn w:val="Text1"/>
    <w:pPr>
      <w:numPr>
        <w:ilvl w:val="2"/>
        <w:numId w:val="14"/>
      </w:numPr>
    </w:pPr>
  </w:style>
  <w:style w:type="paragraph" w:customStyle="1" w:styleId="ListNumber1Level4">
    <w:name w:val="List Number 1 (Level 4)"/>
    <w:basedOn w:val="Text1"/>
    <w:pPr>
      <w:numPr>
        <w:ilvl w:val="3"/>
        <w:numId w:val="14"/>
      </w:numPr>
    </w:pPr>
  </w:style>
  <w:style w:type="paragraph" w:customStyle="1" w:styleId="ListNumber2Level2">
    <w:name w:val="List Number 2 (Level 2)"/>
    <w:basedOn w:val="Text2"/>
    <w:pPr>
      <w:numPr>
        <w:ilvl w:val="1"/>
        <w:numId w:val="15"/>
      </w:numPr>
      <w:tabs>
        <w:tab w:val="clear" w:pos="2160"/>
      </w:tabs>
    </w:pPr>
  </w:style>
  <w:style w:type="paragraph" w:customStyle="1" w:styleId="ListNumber2Level3">
    <w:name w:val="List Number 2 (Level 3)"/>
    <w:basedOn w:val="Text2"/>
    <w:pPr>
      <w:numPr>
        <w:ilvl w:val="2"/>
        <w:numId w:val="15"/>
      </w:numPr>
      <w:tabs>
        <w:tab w:val="clear" w:pos="2160"/>
      </w:tabs>
    </w:pPr>
  </w:style>
  <w:style w:type="paragraph" w:customStyle="1" w:styleId="ListNumber2Level4">
    <w:name w:val="List Number 2 (Level 4)"/>
    <w:basedOn w:val="Text2"/>
    <w:pPr>
      <w:numPr>
        <w:ilvl w:val="3"/>
        <w:numId w:val="15"/>
      </w:numPr>
      <w:tabs>
        <w:tab w:val="clear" w:pos="2160"/>
      </w:tabs>
      <w:ind w:left="3901" w:hanging="703"/>
    </w:pPr>
  </w:style>
  <w:style w:type="paragraph" w:customStyle="1" w:styleId="ListNumber3Level2">
    <w:name w:val="List Number 3 (Level 2)"/>
    <w:basedOn w:val="Text3"/>
    <w:pPr>
      <w:numPr>
        <w:ilvl w:val="1"/>
        <w:numId w:val="16"/>
      </w:numPr>
      <w:tabs>
        <w:tab w:val="clear" w:pos="2302"/>
      </w:tabs>
    </w:pPr>
  </w:style>
  <w:style w:type="paragraph" w:customStyle="1" w:styleId="ListNumber3Level3">
    <w:name w:val="List Number 3 (Level 3)"/>
    <w:basedOn w:val="Text3"/>
    <w:pPr>
      <w:numPr>
        <w:ilvl w:val="2"/>
        <w:numId w:val="16"/>
      </w:numPr>
      <w:tabs>
        <w:tab w:val="clear" w:pos="2302"/>
      </w:tabs>
    </w:pPr>
  </w:style>
  <w:style w:type="paragraph" w:customStyle="1" w:styleId="ListNumber3Level4">
    <w:name w:val="List Number 3 (Level 4)"/>
    <w:basedOn w:val="Text3"/>
    <w:pPr>
      <w:numPr>
        <w:ilvl w:val="3"/>
        <w:numId w:val="16"/>
      </w:numPr>
      <w:tabs>
        <w:tab w:val="clear" w:pos="2302"/>
      </w:tabs>
    </w:pPr>
  </w:style>
  <w:style w:type="paragraph" w:customStyle="1" w:styleId="ListNumber4Level2">
    <w:name w:val="List Number 4 (Level 2)"/>
    <w:basedOn w:val="Text4"/>
    <w:pPr>
      <w:numPr>
        <w:ilvl w:val="1"/>
        <w:numId w:val="17"/>
      </w:numPr>
    </w:pPr>
  </w:style>
  <w:style w:type="paragraph" w:customStyle="1" w:styleId="ListNumber4Level3">
    <w:name w:val="List Number 4 (Level 3)"/>
    <w:basedOn w:val="Text4"/>
    <w:pPr>
      <w:numPr>
        <w:ilvl w:val="2"/>
        <w:numId w:val="17"/>
      </w:numPr>
    </w:pPr>
  </w:style>
  <w:style w:type="paragraph" w:customStyle="1" w:styleId="ListNumber4Level4">
    <w:name w:val="List Number 4 (Level 4)"/>
    <w:basedOn w:val="Text4"/>
    <w:pPr>
      <w:numPr>
        <w:ilvl w:val="3"/>
        <w:numId w:val="17"/>
      </w:numPr>
    </w:pPr>
  </w:style>
  <w:style w:type="paragraph" w:customStyle="1" w:styleId="TtulodeTDC1">
    <w:name w:val="Título de TDC1"/>
    <w:basedOn w:val="Normal"/>
    <w:next w:val="Normal"/>
    <w:qFormat/>
    <w:pPr>
      <w:keepNext/>
      <w:spacing w:before="240"/>
      <w:jc w:val="center"/>
    </w:pPr>
    <w:rPr>
      <w:b/>
    </w:rPr>
  </w:style>
  <w:style w:type="paragraph" w:customStyle="1" w:styleId="Contact">
    <w:name w:val="Contact"/>
    <w:basedOn w:val="Normal"/>
    <w:next w:val="Enclosures"/>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ZCom">
    <w:name w:val="Z_Com"/>
    <w:basedOn w:val="Normal"/>
    <w:next w:val="ZDGName"/>
    <w:rsid w:val="00710222"/>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710222"/>
    <w:pPr>
      <w:widowControl w:val="0"/>
      <w:autoSpaceDE w:val="0"/>
      <w:autoSpaceDN w:val="0"/>
      <w:spacing w:after="0"/>
      <w:ind w:right="85"/>
      <w:jc w:val="left"/>
    </w:pPr>
    <w:rPr>
      <w:rFonts w:ascii="Arial" w:hAnsi="Arial" w:cs="Arial"/>
      <w:sz w:val="16"/>
      <w:szCs w:val="16"/>
      <w:lang w:eastAsia="en-GB"/>
    </w:rPr>
  </w:style>
  <w:style w:type="paragraph" w:customStyle="1" w:styleId="Par-bullet">
    <w:name w:val="Par-bullet"/>
    <w:basedOn w:val="Normal"/>
    <w:next w:val="Normal"/>
    <w:rsid w:val="00021AAC"/>
    <w:pPr>
      <w:numPr>
        <w:numId w:val="18"/>
      </w:numPr>
      <w:spacing w:after="0" w:line="360" w:lineRule="auto"/>
      <w:ind w:left="357" w:hanging="357"/>
      <w:jc w:val="left"/>
    </w:pPr>
    <w:rPr>
      <w:lang w:val="fr-FR" w:eastAsia="fr-BE"/>
    </w:rPr>
  </w:style>
  <w:style w:type="paragraph" w:customStyle="1" w:styleId="CharCharChar">
    <w:name w:val="Char Char Char"/>
    <w:basedOn w:val="Normal"/>
    <w:rsid w:val="00021AAC"/>
    <w:pPr>
      <w:spacing w:after="160" w:line="240" w:lineRule="exact"/>
      <w:jc w:val="left"/>
    </w:pPr>
    <w:rPr>
      <w:rFonts w:ascii="Tahoma" w:hAnsi="Tahoma"/>
      <w:sz w:val="20"/>
      <w:lang w:val="en-US"/>
    </w:rPr>
  </w:style>
  <w:style w:type="paragraph" w:customStyle="1" w:styleId="Titrearticle">
    <w:name w:val="Titre article"/>
    <w:basedOn w:val="Normal"/>
    <w:next w:val="Normal"/>
    <w:rsid w:val="00021AAC"/>
    <w:pPr>
      <w:keepNext/>
      <w:spacing w:before="360" w:after="120"/>
      <w:jc w:val="center"/>
    </w:pPr>
    <w:rPr>
      <w:i/>
      <w:szCs w:val="24"/>
    </w:rPr>
  </w:style>
  <w:style w:type="paragraph" w:customStyle="1" w:styleId="Point1">
    <w:name w:val="Point 1"/>
    <w:basedOn w:val="Normal"/>
    <w:rsid w:val="00021AAC"/>
    <w:pPr>
      <w:spacing w:before="120" w:after="120" w:line="360" w:lineRule="auto"/>
      <w:ind w:left="1417" w:hanging="567"/>
      <w:jc w:val="left"/>
    </w:pPr>
    <w:rPr>
      <w:snapToGrid w:val="0"/>
      <w:szCs w:val="24"/>
      <w:lang w:eastAsia="en-GB"/>
    </w:rPr>
  </w:style>
  <w:style w:type="paragraph" w:customStyle="1" w:styleId="Tiret1">
    <w:name w:val="Tiret 1"/>
    <w:basedOn w:val="Point1"/>
    <w:rsid w:val="00021AAC"/>
    <w:pPr>
      <w:tabs>
        <w:tab w:val="num" w:pos="765"/>
      </w:tabs>
      <w:ind w:left="765" w:hanging="283"/>
    </w:pPr>
  </w:style>
  <w:style w:type="paragraph" w:customStyle="1" w:styleId="ManualNumPar1">
    <w:name w:val="Manual NumPar 1"/>
    <w:basedOn w:val="Normal"/>
    <w:next w:val="Text1"/>
    <w:rsid w:val="00021AAC"/>
    <w:pPr>
      <w:spacing w:before="120" w:after="120"/>
      <w:ind w:left="851" w:hanging="851"/>
    </w:pPr>
    <w:rPr>
      <w:lang w:eastAsia="fr-BE"/>
    </w:rPr>
  </w:style>
  <w:style w:type="paragraph" w:styleId="BalloonText">
    <w:name w:val="Balloon Text"/>
    <w:basedOn w:val="Normal"/>
    <w:semiHidden/>
    <w:rsid w:val="00245AA3"/>
    <w:rPr>
      <w:rFonts w:ascii="Tahoma" w:hAnsi="Tahoma" w:cs="Tahoma"/>
      <w:sz w:val="16"/>
      <w:szCs w:val="16"/>
    </w:rPr>
  </w:style>
  <w:style w:type="character" w:styleId="CommentReference">
    <w:name w:val="annotation reference"/>
    <w:semiHidden/>
    <w:rsid w:val="00CB52EC"/>
    <w:rPr>
      <w:sz w:val="16"/>
      <w:szCs w:val="16"/>
    </w:rPr>
  </w:style>
  <w:style w:type="paragraph" w:styleId="CommentSubject">
    <w:name w:val="annotation subject"/>
    <w:basedOn w:val="CommentText"/>
    <w:next w:val="CommentText"/>
    <w:semiHidden/>
    <w:rsid w:val="00CB52EC"/>
    <w:rPr>
      <w:b/>
      <w:bCs/>
    </w:rPr>
  </w:style>
  <w:style w:type="character" w:styleId="FootnoteReference">
    <w:name w:val="footnote reference"/>
    <w:uiPriority w:val="99"/>
    <w:rsid w:val="00DE0E1E"/>
    <w:rPr>
      <w:vertAlign w:val="superscript"/>
    </w:rPr>
  </w:style>
  <w:style w:type="character" w:styleId="Hyperlink">
    <w:name w:val="Hyperlink"/>
    <w:rsid w:val="00E50255"/>
    <w:rPr>
      <w:color w:val="0000FF"/>
      <w:u w:val="single"/>
    </w:rPr>
  </w:style>
  <w:style w:type="paragraph" w:styleId="NormalWeb">
    <w:name w:val="Normal (Web)"/>
    <w:basedOn w:val="Normal"/>
    <w:rsid w:val="001B19DF"/>
    <w:pPr>
      <w:spacing w:before="100" w:beforeAutospacing="1" w:after="100" w:afterAutospacing="1"/>
      <w:jc w:val="left"/>
    </w:pPr>
    <w:rPr>
      <w:szCs w:val="24"/>
      <w:lang w:eastAsia="en-GB"/>
    </w:rPr>
  </w:style>
  <w:style w:type="character" w:styleId="PageNumber">
    <w:name w:val="page number"/>
    <w:basedOn w:val="DefaultParagraphFont"/>
    <w:rsid w:val="006133B8"/>
  </w:style>
  <w:style w:type="character" w:customStyle="1" w:styleId="CommentTextChar">
    <w:name w:val="Comment Text Char"/>
    <w:link w:val="CommentText"/>
    <w:semiHidden/>
    <w:rsid w:val="00031591"/>
    <w:rPr>
      <w:lang w:eastAsia="en-US"/>
    </w:rPr>
  </w:style>
  <w:style w:type="character" w:customStyle="1" w:styleId="FootnoteTextChar">
    <w:name w:val="Footnote Text Char"/>
    <w:uiPriority w:val="99"/>
    <w:rsid w:val="00274D3C"/>
    <w:rPr>
      <w:lang w:eastAsia="en-US"/>
    </w:rPr>
  </w:style>
  <w:style w:type="character" w:styleId="EndnoteReference">
    <w:name w:val="endnote reference"/>
    <w:rsid w:val="00320019"/>
    <w:rPr>
      <w:vertAlign w:val="superscript"/>
    </w:rPr>
  </w:style>
  <w:style w:type="paragraph" w:customStyle="1" w:styleId="Default">
    <w:name w:val="Default"/>
    <w:rsid w:val="00C01D07"/>
    <w:pPr>
      <w:autoSpaceDE w:val="0"/>
      <w:autoSpaceDN w:val="0"/>
      <w:adjustRightInd w:val="0"/>
    </w:pPr>
    <w:rPr>
      <w:rFonts w:ascii="Verdana" w:hAnsi="Verdana" w:cs="Verdana"/>
      <w:color w:val="000000"/>
      <w:sz w:val="24"/>
      <w:szCs w:val="24"/>
      <w:lang w:val="es-ES" w:eastAsia="es-ES"/>
    </w:rPr>
  </w:style>
  <w:style w:type="paragraph" w:customStyle="1" w:styleId="No-TOCheadingAgency">
    <w:name w:val="No-TOC heading (Agency)"/>
    <w:basedOn w:val="Default"/>
    <w:next w:val="Default"/>
    <w:uiPriority w:val="99"/>
    <w:rsid w:val="00C01D07"/>
    <w:rPr>
      <w:rFonts w:cs="Times New Roman"/>
      <w:color w:val="auto"/>
    </w:rPr>
  </w:style>
  <w:style w:type="paragraph" w:customStyle="1" w:styleId="TOCI">
    <w:name w:val="TOCI"/>
    <w:basedOn w:val="Default"/>
    <w:next w:val="Default"/>
    <w:uiPriority w:val="99"/>
    <w:rsid w:val="00C01D07"/>
    <w:rPr>
      <w:rFonts w:cs="Times New Roman"/>
      <w:color w:val="auto"/>
    </w:rPr>
  </w:style>
  <w:style w:type="table" w:styleId="TableGrid">
    <w:name w:val="Table Grid"/>
    <w:basedOn w:val="TableNormal"/>
    <w:rsid w:val="00C95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0">
    <w:name w:val="Tiret 0"/>
    <w:basedOn w:val="Normal"/>
    <w:rsid w:val="004221BF"/>
    <w:pPr>
      <w:numPr>
        <w:numId w:val="24"/>
      </w:numPr>
      <w:spacing w:before="120" w:after="120" w:line="360" w:lineRule="auto"/>
      <w:jc w:val="left"/>
    </w:pPr>
    <w:rPr>
      <w:szCs w:val="24"/>
    </w:rPr>
  </w:style>
  <w:style w:type="paragraph" w:customStyle="1" w:styleId="Tiret4">
    <w:name w:val="Tiret 4"/>
    <w:basedOn w:val="Normal"/>
    <w:rsid w:val="004221BF"/>
    <w:pPr>
      <w:numPr>
        <w:numId w:val="25"/>
      </w:numPr>
      <w:spacing w:before="120" w:after="120" w:line="360" w:lineRule="auto"/>
      <w:jc w:val="left"/>
    </w:pPr>
    <w:rPr>
      <w:szCs w:val="24"/>
    </w:rPr>
  </w:style>
  <w:style w:type="paragraph" w:customStyle="1" w:styleId="Revisin1">
    <w:name w:val="Revisión1"/>
    <w:hidden/>
    <w:uiPriority w:val="99"/>
    <w:semiHidden/>
    <w:rsid w:val="00111360"/>
    <w:rPr>
      <w:sz w:val="24"/>
      <w:lang w:eastAsia="en-US"/>
    </w:rPr>
  </w:style>
  <w:style w:type="paragraph" w:styleId="Revision">
    <w:name w:val="Revision"/>
    <w:hidden/>
    <w:uiPriority w:val="99"/>
    <w:semiHidden/>
    <w:rsid w:val="0060067E"/>
    <w:rPr>
      <w:sz w:val="24"/>
      <w:lang w:eastAsia="en-US"/>
    </w:rPr>
  </w:style>
  <w:style w:type="paragraph" w:styleId="ListParagraph">
    <w:name w:val="List Paragraph"/>
    <w:basedOn w:val="Normal"/>
    <w:uiPriority w:val="34"/>
    <w:qFormat/>
    <w:rsid w:val="003D2BD0"/>
    <w:pPr>
      <w:ind w:left="708"/>
    </w:pPr>
  </w:style>
  <w:style w:type="paragraph" w:customStyle="1" w:styleId="CM4">
    <w:name w:val="CM4"/>
    <w:basedOn w:val="Default"/>
    <w:next w:val="Default"/>
    <w:uiPriority w:val="99"/>
    <w:rsid w:val="003E7AD9"/>
    <w:rPr>
      <w:rFonts w:ascii="Times New Roman" w:hAnsi="Times New Roman" w:cs="Times New Roman"/>
      <w:color w:val="auto"/>
      <w:lang w:val="en-GB" w:eastAsia="en-GB"/>
    </w:rPr>
  </w:style>
  <w:style w:type="character" w:customStyle="1" w:styleId="FooterChar">
    <w:name w:val="Footer Char"/>
    <w:link w:val="Footer"/>
    <w:uiPriority w:val="99"/>
    <w:rsid w:val="004B34A7"/>
    <w:rPr>
      <w:rFonts w:ascii="Arial" w:hAnsi="Arial"/>
      <w:sz w:val="16"/>
      <w:lang w:eastAsia="en-US"/>
    </w:rPr>
  </w:style>
  <w:style w:type="paragraph" w:customStyle="1" w:styleId="EFSABODYCOPY">
    <w:name w:val="EFSA BODY COPY"/>
    <w:basedOn w:val="Normal"/>
    <w:link w:val="EFSABODYCOPYChar"/>
    <w:qFormat/>
    <w:rsid w:val="00571636"/>
    <w:pPr>
      <w:spacing w:after="120"/>
      <w:jc w:val="left"/>
    </w:pPr>
    <w:rPr>
      <w:rFonts w:ascii="Verdana" w:eastAsia="Calibri" w:hAnsi="Verdana"/>
      <w:sz w:val="22"/>
      <w:szCs w:val="22"/>
    </w:rPr>
  </w:style>
  <w:style w:type="character" w:customStyle="1" w:styleId="EFSABODYCOPYChar">
    <w:name w:val="EFSA BODY COPY Char"/>
    <w:link w:val="EFSABODYCOPY"/>
    <w:rsid w:val="00571636"/>
    <w:rPr>
      <w:rFonts w:ascii="Verdana" w:eastAsia="Calibri" w:hAnsi="Verdana"/>
      <w:sz w:val="22"/>
      <w:szCs w:val="22"/>
      <w:lang w:eastAsia="en-US"/>
    </w:rPr>
  </w:style>
  <w:style w:type="character" w:customStyle="1" w:styleId="HeaderChar">
    <w:name w:val="Header Char"/>
    <w:basedOn w:val="DefaultParagraphFont"/>
    <w:link w:val="Header"/>
    <w:rsid w:val="00B34124"/>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F5B"/>
    <w:pPr>
      <w:spacing w:after="240"/>
      <w:jc w:val="both"/>
    </w:pPr>
    <w:rPr>
      <w:sz w:val="24"/>
      <w:lang w:eastAsia="en-US"/>
    </w:rPr>
  </w:style>
  <w:style w:type="paragraph" w:styleId="Heading1">
    <w:name w:val="heading 1"/>
    <w:basedOn w:val="Normal"/>
    <w:next w:val="Text1"/>
    <w:qFormat/>
    <w:rsid w:val="009021D8"/>
    <w:pPr>
      <w:keepNext/>
      <w:spacing w:before="240"/>
      <w:outlineLvl w:val="0"/>
    </w:pPr>
    <w:rPr>
      <w:b/>
      <w:smallCaps/>
    </w:rPr>
  </w:style>
  <w:style w:type="paragraph" w:styleId="Heading2">
    <w:name w:val="heading 2"/>
    <w:basedOn w:val="Normal"/>
    <w:next w:val="Text2"/>
    <w:qFormat/>
    <w:rsid w:val="009021D8"/>
    <w:pPr>
      <w:keepNext/>
      <w:ind w:left="480"/>
      <w:outlineLvl w:val="1"/>
    </w:pPr>
    <w:rPr>
      <w:b/>
    </w:rPr>
  </w:style>
  <w:style w:type="paragraph" w:styleId="Heading3">
    <w:name w:val="heading 3"/>
    <w:basedOn w:val="Normal"/>
    <w:next w:val="Text3"/>
    <w:qFormat/>
    <w:rsid w:val="009021D8"/>
    <w:pPr>
      <w:keepNext/>
      <w:ind w:left="1080"/>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semiHidden/>
    <w:rPr>
      <w:sz w:val="20"/>
      <w:lang w:val="x-none"/>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uiPriority w:val="99"/>
    <w:pPr>
      <w:ind w:left="357" w:hanging="357"/>
    </w:pPr>
    <w:rPr>
      <w:sz w:val="20"/>
      <w:lang w:val="x-none"/>
    </w:rPr>
  </w:style>
  <w:style w:type="paragraph" w:styleId="Header">
    <w:name w:val="header"/>
    <w:basedOn w:val="Normal"/>
    <w:link w:val="HeaderChar"/>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tabs>
        <w:tab w:val="clear" w:pos="851"/>
        <w:tab w:val="num" w:pos="709"/>
      </w:tabs>
      <w:ind w:left="709"/>
    </w:pPr>
  </w:style>
  <w:style w:type="paragraph" w:styleId="ListNumber2">
    <w:name w:val="List Number 2"/>
    <w:basedOn w:val="Text2"/>
    <w:pPr>
      <w:numPr>
        <w:numId w:val="15"/>
      </w:numPr>
      <w:tabs>
        <w:tab w:val="clear" w:pos="2160"/>
      </w:tabs>
    </w:pPr>
  </w:style>
  <w:style w:type="paragraph" w:styleId="ListNumber3">
    <w:name w:val="List Number 3"/>
    <w:basedOn w:val="Text3"/>
    <w:pPr>
      <w:numPr>
        <w:numId w:val="16"/>
      </w:numPr>
      <w:tabs>
        <w:tab w:val="clear" w:pos="2302"/>
      </w:tabs>
    </w:pPr>
  </w:style>
  <w:style w:type="paragraph" w:styleId="ListNumber4">
    <w:name w:val="List Number 4"/>
    <w:basedOn w:val="Text4"/>
    <w:pPr>
      <w:numPr>
        <w:numId w:val="17"/>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9"/>
      </w:numPr>
    </w:pPr>
  </w:style>
  <w:style w:type="paragraph" w:customStyle="1" w:styleId="ListNumberLevel3">
    <w:name w:val="List Number (Level 3)"/>
    <w:basedOn w:val="Normal"/>
    <w:pPr>
      <w:numPr>
        <w:ilvl w:val="2"/>
        <w:numId w:val="19"/>
      </w:numPr>
    </w:pPr>
  </w:style>
  <w:style w:type="paragraph" w:customStyle="1" w:styleId="ListNumberLevel4">
    <w:name w:val="List Number (Level 4)"/>
    <w:basedOn w:val="Normal"/>
    <w:pPr>
      <w:numPr>
        <w:ilvl w:val="3"/>
        <w:numId w:val="19"/>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pPr>
  </w:style>
  <w:style w:type="paragraph" w:customStyle="1" w:styleId="ListNumber1Level3">
    <w:name w:val="List Number 1 (Level 3)"/>
    <w:basedOn w:val="Text1"/>
    <w:pPr>
      <w:numPr>
        <w:ilvl w:val="2"/>
        <w:numId w:val="14"/>
      </w:numPr>
    </w:pPr>
  </w:style>
  <w:style w:type="paragraph" w:customStyle="1" w:styleId="ListNumber1Level4">
    <w:name w:val="List Number 1 (Level 4)"/>
    <w:basedOn w:val="Text1"/>
    <w:pPr>
      <w:numPr>
        <w:ilvl w:val="3"/>
        <w:numId w:val="14"/>
      </w:numPr>
    </w:pPr>
  </w:style>
  <w:style w:type="paragraph" w:customStyle="1" w:styleId="ListNumber2Level2">
    <w:name w:val="List Number 2 (Level 2)"/>
    <w:basedOn w:val="Text2"/>
    <w:pPr>
      <w:numPr>
        <w:ilvl w:val="1"/>
        <w:numId w:val="15"/>
      </w:numPr>
      <w:tabs>
        <w:tab w:val="clear" w:pos="2160"/>
      </w:tabs>
    </w:pPr>
  </w:style>
  <w:style w:type="paragraph" w:customStyle="1" w:styleId="ListNumber2Level3">
    <w:name w:val="List Number 2 (Level 3)"/>
    <w:basedOn w:val="Text2"/>
    <w:pPr>
      <w:numPr>
        <w:ilvl w:val="2"/>
        <w:numId w:val="15"/>
      </w:numPr>
      <w:tabs>
        <w:tab w:val="clear" w:pos="2160"/>
      </w:tabs>
    </w:pPr>
  </w:style>
  <w:style w:type="paragraph" w:customStyle="1" w:styleId="ListNumber2Level4">
    <w:name w:val="List Number 2 (Level 4)"/>
    <w:basedOn w:val="Text2"/>
    <w:pPr>
      <w:numPr>
        <w:ilvl w:val="3"/>
        <w:numId w:val="15"/>
      </w:numPr>
      <w:tabs>
        <w:tab w:val="clear" w:pos="2160"/>
      </w:tabs>
      <w:ind w:left="3901" w:hanging="703"/>
    </w:pPr>
  </w:style>
  <w:style w:type="paragraph" w:customStyle="1" w:styleId="ListNumber3Level2">
    <w:name w:val="List Number 3 (Level 2)"/>
    <w:basedOn w:val="Text3"/>
    <w:pPr>
      <w:numPr>
        <w:ilvl w:val="1"/>
        <w:numId w:val="16"/>
      </w:numPr>
      <w:tabs>
        <w:tab w:val="clear" w:pos="2302"/>
      </w:tabs>
    </w:pPr>
  </w:style>
  <w:style w:type="paragraph" w:customStyle="1" w:styleId="ListNumber3Level3">
    <w:name w:val="List Number 3 (Level 3)"/>
    <w:basedOn w:val="Text3"/>
    <w:pPr>
      <w:numPr>
        <w:ilvl w:val="2"/>
        <w:numId w:val="16"/>
      </w:numPr>
      <w:tabs>
        <w:tab w:val="clear" w:pos="2302"/>
      </w:tabs>
    </w:pPr>
  </w:style>
  <w:style w:type="paragraph" w:customStyle="1" w:styleId="ListNumber3Level4">
    <w:name w:val="List Number 3 (Level 4)"/>
    <w:basedOn w:val="Text3"/>
    <w:pPr>
      <w:numPr>
        <w:ilvl w:val="3"/>
        <w:numId w:val="16"/>
      </w:numPr>
      <w:tabs>
        <w:tab w:val="clear" w:pos="2302"/>
      </w:tabs>
    </w:pPr>
  </w:style>
  <w:style w:type="paragraph" w:customStyle="1" w:styleId="ListNumber4Level2">
    <w:name w:val="List Number 4 (Level 2)"/>
    <w:basedOn w:val="Text4"/>
    <w:pPr>
      <w:numPr>
        <w:ilvl w:val="1"/>
        <w:numId w:val="17"/>
      </w:numPr>
    </w:pPr>
  </w:style>
  <w:style w:type="paragraph" w:customStyle="1" w:styleId="ListNumber4Level3">
    <w:name w:val="List Number 4 (Level 3)"/>
    <w:basedOn w:val="Text4"/>
    <w:pPr>
      <w:numPr>
        <w:ilvl w:val="2"/>
        <w:numId w:val="17"/>
      </w:numPr>
    </w:pPr>
  </w:style>
  <w:style w:type="paragraph" w:customStyle="1" w:styleId="ListNumber4Level4">
    <w:name w:val="List Number 4 (Level 4)"/>
    <w:basedOn w:val="Text4"/>
    <w:pPr>
      <w:numPr>
        <w:ilvl w:val="3"/>
        <w:numId w:val="17"/>
      </w:numPr>
    </w:pPr>
  </w:style>
  <w:style w:type="paragraph" w:customStyle="1" w:styleId="TtulodeTDC1">
    <w:name w:val="Título de TDC1"/>
    <w:basedOn w:val="Normal"/>
    <w:next w:val="Normal"/>
    <w:qFormat/>
    <w:pPr>
      <w:keepNext/>
      <w:spacing w:before="240"/>
      <w:jc w:val="center"/>
    </w:pPr>
    <w:rPr>
      <w:b/>
    </w:rPr>
  </w:style>
  <w:style w:type="paragraph" w:customStyle="1" w:styleId="Contact">
    <w:name w:val="Contact"/>
    <w:basedOn w:val="Normal"/>
    <w:next w:val="Enclosures"/>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ZCom">
    <w:name w:val="Z_Com"/>
    <w:basedOn w:val="Normal"/>
    <w:next w:val="ZDGName"/>
    <w:rsid w:val="00710222"/>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710222"/>
    <w:pPr>
      <w:widowControl w:val="0"/>
      <w:autoSpaceDE w:val="0"/>
      <w:autoSpaceDN w:val="0"/>
      <w:spacing w:after="0"/>
      <w:ind w:right="85"/>
      <w:jc w:val="left"/>
    </w:pPr>
    <w:rPr>
      <w:rFonts w:ascii="Arial" w:hAnsi="Arial" w:cs="Arial"/>
      <w:sz w:val="16"/>
      <w:szCs w:val="16"/>
      <w:lang w:eastAsia="en-GB"/>
    </w:rPr>
  </w:style>
  <w:style w:type="paragraph" w:customStyle="1" w:styleId="Par-bullet">
    <w:name w:val="Par-bullet"/>
    <w:basedOn w:val="Normal"/>
    <w:next w:val="Normal"/>
    <w:rsid w:val="00021AAC"/>
    <w:pPr>
      <w:numPr>
        <w:numId w:val="18"/>
      </w:numPr>
      <w:spacing w:after="0" w:line="360" w:lineRule="auto"/>
      <w:ind w:left="357" w:hanging="357"/>
      <w:jc w:val="left"/>
    </w:pPr>
    <w:rPr>
      <w:lang w:val="fr-FR" w:eastAsia="fr-BE"/>
    </w:rPr>
  </w:style>
  <w:style w:type="paragraph" w:customStyle="1" w:styleId="CharCharChar">
    <w:name w:val="Char Char Char"/>
    <w:basedOn w:val="Normal"/>
    <w:rsid w:val="00021AAC"/>
    <w:pPr>
      <w:spacing w:after="160" w:line="240" w:lineRule="exact"/>
      <w:jc w:val="left"/>
    </w:pPr>
    <w:rPr>
      <w:rFonts w:ascii="Tahoma" w:hAnsi="Tahoma"/>
      <w:sz w:val="20"/>
      <w:lang w:val="en-US"/>
    </w:rPr>
  </w:style>
  <w:style w:type="paragraph" w:customStyle="1" w:styleId="Titrearticle">
    <w:name w:val="Titre article"/>
    <w:basedOn w:val="Normal"/>
    <w:next w:val="Normal"/>
    <w:rsid w:val="00021AAC"/>
    <w:pPr>
      <w:keepNext/>
      <w:spacing w:before="360" w:after="120"/>
      <w:jc w:val="center"/>
    </w:pPr>
    <w:rPr>
      <w:i/>
      <w:szCs w:val="24"/>
    </w:rPr>
  </w:style>
  <w:style w:type="paragraph" w:customStyle="1" w:styleId="Point1">
    <w:name w:val="Point 1"/>
    <w:basedOn w:val="Normal"/>
    <w:rsid w:val="00021AAC"/>
    <w:pPr>
      <w:spacing w:before="120" w:after="120" w:line="360" w:lineRule="auto"/>
      <w:ind w:left="1417" w:hanging="567"/>
      <w:jc w:val="left"/>
    </w:pPr>
    <w:rPr>
      <w:snapToGrid w:val="0"/>
      <w:szCs w:val="24"/>
      <w:lang w:eastAsia="en-GB"/>
    </w:rPr>
  </w:style>
  <w:style w:type="paragraph" w:customStyle="1" w:styleId="Tiret1">
    <w:name w:val="Tiret 1"/>
    <w:basedOn w:val="Point1"/>
    <w:rsid w:val="00021AAC"/>
    <w:pPr>
      <w:tabs>
        <w:tab w:val="num" w:pos="765"/>
      </w:tabs>
      <w:ind w:left="765" w:hanging="283"/>
    </w:pPr>
  </w:style>
  <w:style w:type="paragraph" w:customStyle="1" w:styleId="ManualNumPar1">
    <w:name w:val="Manual NumPar 1"/>
    <w:basedOn w:val="Normal"/>
    <w:next w:val="Text1"/>
    <w:rsid w:val="00021AAC"/>
    <w:pPr>
      <w:spacing w:before="120" w:after="120"/>
      <w:ind w:left="851" w:hanging="851"/>
    </w:pPr>
    <w:rPr>
      <w:lang w:eastAsia="fr-BE"/>
    </w:rPr>
  </w:style>
  <w:style w:type="paragraph" w:styleId="BalloonText">
    <w:name w:val="Balloon Text"/>
    <w:basedOn w:val="Normal"/>
    <w:semiHidden/>
    <w:rsid w:val="00245AA3"/>
    <w:rPr>
      <w:rFonts w:ascii="Tahoma" w:hAnsi="Tahoma" w:cs="Tahoma"/>
      <w:sz w:val="16"/>
      <w:szCs w:val="16"/>
    </w:rPr>
  </w:style>
  <w:style w:type="character" w:styleId="CommentReference">
    <w:name w:val="annotation reference"/>
    <w:semiHidden/>
    <w:rsid w:val="00CB52EC"/>
    <w:rPr>
      <w:sz w:val="16"/>
      <w:szCs w:val="16"/>
    </w:rPr>
  </w:style>
  <w:style w:type="paragraph" w:styleId="CommentSubject">
    <w:name w:val="annotation subject"/>
    <w:basedOn w:val="CommentText"/>
    <w:next w:val="CommentText"/>
    <w:semiHidden/>
    <w:rsid w:val="00CB52EC"/>
    <w:rPr>
      <w:b/>
      <w:bCs/>
    </w:rPr>
  </w:style>
  <w:style w:type="character" w:styleId="FootnoteReference">
    <w:name w:val="footnote reference"/>
    <w:uiPriority w:val="99"/>
    <w:rsid w:val="00DE0E1E"/>
    <w:rPr>
      <w:vertAlign w:val="superscript"/>
    </w:rPr>
  </w:style>
  <w:style w:type="character" w:styleId="Hyperlink">
    <w:name w:val="Hyperlink"/>
    <w:rsid w:val="00E50255"/>
    <w:rPr>
      <w:color w:val="0000FF"/>
      <w:u w:val="single"/>
    </w:rPr>
  </w:style>
  <w:style w:type="paragraph" w:styleId="NormalWeb">
    <w:name w:val="Normal (Web)"/>
    <w:basedOn w:val="Normal"/>
    <w:rsid w:val="001B19DF"/>
    <w:pPr>
      <w:spacing w:before="100" w:beforeAutospacing="1" w:after="100" w:afterAutospacing="1"/>
      <w:jc w:val="left"/>
    </w:pPr>
    <w:rPr>
      <w:szCs w:val="24"/>
      <w:lang w:eastAsia="en-GB"/>
    </w:rPr>
  </w:style>
  <w:style w:type="character" w:styleId="PageNumber">
    <w:name w:val="page number"/>
    <w:basedOn w:val="DefaultParagraphFont"/>
    <w:rsid w:val="006133B8"/>
  </w:style>
  <w:style w:type="character" w:customStyle="1" w:styleId="CommentTextChar">
    <w:name w:val="Comment Text Char"/>
    <w:link w:val="CommentText"/>
    <w:semiHidden/>
    <w:rsid w:val="00031591"/>
    <w:rPr>
      <w:lang w:eastAsia="en-US"/>
    </w:rPr>
  </w:style>
  <w:style w:type="character" w:customStyle="1" w:styleId="FootnoteTextChar">
    <w:name w:val="Footnote Text Char"/>
    <w:uiPriority w:val="99"/>
    <w:rsid w:val="00274D3C"/>
    <w:rPr>
      <w:lang w:eastAsia="en-US"/>
    </w:rPr>
  </w:style>
  <w:style w:type="character" w:styleId="EndnoteReference">
    <w:name w:val="endnote reference"/>
    <w:rsid w:val="00320019"/>
    <w:rPr>
      <w:vertAlign w:val="superscript"/>
    </w:rPr>
  </w:style>
  <w:style w:type="paragraph" w:customStyle="1" w:styleId="Default">
    <w:name w:val="Default"/>
    <w:rsid w:val="00C01D07"/>
    <w:pPr>
      <w:autoSpaceDE w:val="0"/>
      <w:autoSpaceDN w:val="0"/>
      <w:adjustRightInd w:val="0"/>
    </w:pPr>
    <w:rPr>
      <w:rFonts w:ascii="Verdana" w:hAnsi="Verdana" w:cs="Verdana"/>
      <w:color w:val="000000"/>
      <w:sz w:val="24"/>
      <w:szCs w:val="24"/>
      <w:lang w:val="es-ES" w:eastAsia="es-ES"/>
    </w:rPr>
  </w:style>
  <w:style w:type="paragraph" w:customStyle="1" w:styleId="No-TOCheadingAgency">
    <w:name w:val="No-TOC heading (Agency)"/>
    <w:basedOn w:val="Default"/>
    <w:next w:val="Default"/>
    <w:uiPriority w:val="99"/>
    <w:rsid w:val="00C01D07"/>
    <w:rPr>
      <w:rFonts w:cs="Times New Roman"/>
      <w:color w:val="auto"/>
    </w:rPr>
  </w:style>
  <w:style w:type="paragraph" w:customStyle="1" w:styleId="TOCI">
    <w:name w:val="TOCI"/>
    <w:basedOn w:val="Default"/>
    <w:next w:val="Default"/>
    <w:uiPriority w:val="99"/>
    <w:rsid w:val="00C01D07"/>
    <w:rPr>
      <w:rFonts w:cs="Times New Roman"/>
      <w:color w:val="auto"/>
    </w:rPr>
  </w:style>
  <w:style w:type="table" w:styleId="TableGrid">
    <w:name w:val="Table Grid"/>
    <w:basedOn w:val="TableNormal"/>
    <w:rsid w:val="00C95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0">
    <w:name w:val="Tiret 0"/>
    <w:basedOn w:val="Normal"/>
    <w:rsid w:val="004221BF"/>
    <w:pPr>
      <w:numPr>
        <w:numId w:val="24"/>
      </w:numPr>
      <w:spacing w:before="120" w:after="120" w:line="360" w:lineRule="auto"/>
      <w:jc w:val="left"/>
    </w:pPr>
    <w:rPr>
      <w:szCs w:val="24"/>
    </w:rPr>
  </w:style>
  <w:style w:type="paragraph" w:customStyle="1" w:styleId="Tiret4">
    <w:name w:val="Tiret 4"/>
    <w:basedOn w:val="Normal"/>
    <w:rsid w:val="004221BF"/>
    <w:pPr>
      <w:numPr>
        <w:numId w:val="25"/>
      </w:numPr>
      <w:spacing w:before="120" w:after="120" w:line="360" w:lineRule="auto"/>
      <w:jc w:val="left"/>
    </w:pPr>
    <w:rPr>
      <w:szCs w:val="24"/>
    </w:rPr>
  </w:style>
  <w:style w:type="paragraph" w:customStyle="1" w:styleId="Revisin1">
    <w:name w:val="Revisión1"/>
    <w:hidden/>
    <w:uiPriority w:val="99"/>
    <w:semiHidden/>
    <w:rsid w:val="00111360"/>
    <w:rPr>
      <w:sz w:val="24"/>
      <w:lang w:eastAsia="en-US"/>
    </w:rPr>
  </w:style>
  <w:style w:type="paragraph" w:styleId="Revision">
    <w:name w:val="Revision"/>
    <w:hidden/>
    <w:uiPriority w:val="99"/>
    <w:semiHidden/>
    <w:rsid w:val="0060067E"/>
    <w:rPr>
      <w:sz w:val="24"/>
      <w:lang w:eastAsia="en-US"/>
    </w:rPr>
  </w:style>
  <w:style w:type="paragraph" w:styleId="ListParagraph">
    <w:name w:val="List Paragraph"/>
    <w:basedOn w:val="Normal"/>
    <w:uiPriority w:val="34"/>
    <w:qFormat/>
    <w:rsid w:val="003D2BD0"/>
    <w:pPr>
      <w:ind w:left="708"/>
    </w:pPr>
  </w:style>
  <w:style w:type="paragraph" w:customStyle="1" w:styleId="CM4">
    <w:name w:val="CM4"/>
    <w:basedOn w:val="Default"/>
    <w:next w:val="Default"/>
    <w:uiPriority w:val="99"/>
    <w:rsid w:val="003E7AD9"/>
    <w:rPr>
      <w:rFonts w:ascii="Times New Roman" w:hAnsi="Times New Roman" w:cs="Times New Roman"/>
      <w:color w:val="auto"/>
      <w:lang w:val="en-GB" w:eastAsia="en-GB"/>
    </w:rPr>
  </w:style>
  <w:style w:type="character" w:customStyle="1" w:styleId="FooterChar">
    <w:name w:val="Footer Char"/>
    <w:link w:val="Footer"/>
    <w:uiPriority w:val="99"/>
    <w:rsid w:val="004B34A7"/>
    <w:rPr>
      <w:rFonts w:ascii="Arial" w:hAnsi="Arial"/>
      <w:sz w:val="16"/>
      <w:lang w:eastAsia="en-US"/>
    </w:rPr>
  </w:style>
  <w:style w:type="paragraph" w:customStyle="1" w:styleId="EFSABODYCOPY">
    <w:name w:val="EFSA BODY COPY"/>
    <w:basedOn w:val="Normal"/>
    <w:link w:val="EFSABODYCOPYChar"/>
    <w:qFormat/>
    <w:rsid w:val="00571636"/>
    <w:pPr>
      <w:spacing w:after="120"/>
      <w:jc w:val="left"/>
    </w:pPr>
    <w:rPr>
      <w:rFonts w:ascii="Verdana" w:eastAsia="Calibri" w:hAnsi="Verdana"/>
      <w:sz w:val="22"/>
      <w:szCs w:val="22"/>
    </w:rPr>
  </w:style>
  <w:style w:type="character" w:customStyle="1" w:styleId="EFSABODYCOPYChar">
    <w:name w:val="EFSA BODY COPY Char"/>
    <w:link w:val="EFSABODYCOPY"/>
    <w:rsid w:val="00571636"/>
    <w:rPr>
      <w:rFonts w:ascii="Verdana" w:eastAsia="Calibri" w:hAnsi="Verdana"/>
      <w:sz w:val="22"/>
      <w:szCs w:val="22"/>
      <w:lang w:eastAsia="en-US"/>
    </w:rPr>
  </w:style>
  <w:style w:type="character" w:customStyle="1" w:styleId="HeaderChar">
    <w:name w:val="Header Char"/>
    <w:basedOn w:val="DefaultParagraphFont"/>
    <w:link w:val="Header"/>
    <w:rsid w:val="00B3412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219486">
      <w:bodyDiv w:val="1"/>
      <w:marLeft w:val="0"/>
      <w:marRight w:val="0"/>
      <w:marTop w:val="0"/>
      <w:marBottom w:val="0"/>
      <w:divBdr>
        <w:top w:val="none" w:sz="0" w:space="0" w:color="auto"/>
        <w:left w:val="none" w:sz="0" w:space="0" w:color="auto"/>
        <w:bottom w:val="none" w:sz="0" w:space="0" w:color="auto"/>
        <w:right w:val="none" w:sz="0" w:space="0" w:color="auto"/>
      </w:divBdr>
    </w:div>
    <w:div w:id="271400865">
      <w:bodyDiv w:val="1"/>
      <w:marLeft w:val="0"/>
      <w:marRight w:val="0"/>
      <w:marTop w:val="0"/>
      <w:marBottom w:val="0"/>
      <w:divBdr>
        <w:top w:val="none" w:sz="0" w:space="0" w:color="auto"/>
        <w:left w:val="none" w:sz="0" w:space="0" w:color="auto"/>
        <w:bottom w:val="none" w:sz="0" w:space="0" w:color="auto"/>
        <w:right w:val="none" w:sz="0" w:space="0" w:color="auto"/>
      </w:divBdr>
    </w:div>
    <w:div w:id="301084973">
      <w:bodyDiv w:val="1"/>
      <w:marLeft w:val="0"/>
      <w:marRight w:val="0"/>
      <w:marTop w:val="0"/>
      <w:marBottom w:val="0"/>
      <w:divBdr>
        <w:top w:val="none" w:sz="0" w:space="0" w:color="auto"/>
        <w:left w:val="none" w:sz="0" w:space="0" w:color="auto"/>
        <w:bottom w:val="none" w:sz="0" w:space="0" w:color="auto"/>
        <w:right w:val="none" w:sz="0" w:space="0" w:color="auto"/>
      </w:divBdr>
    </w:div>
    <w:div w:id="857305770">
      <w:bodyDiv w:val="1"/>
      <w:marLeft w:val="0"/>
      <w:marRight w:val="0"/>
      <w:marTop w:val="0"/>
      <w:marBottom w:val="0"/>
      <w:divBdr>
        <w:top w:val="none" w:sz="0" w:space="0" w:color="auto"/>
        <w:left w:val="none" w:sz="0" w:space="0" w:color="auto"/>
        <w:bottom w:val="none" w:sz="0" w:space="0" w:color="auto"/>
        <w:right w:val="none" w:sz="0" w:space="0" w:color="auto"/>
      </w:divBdr>
    </w:div>
    <w:div w:id="1486435677">
      <w:bodyDiv w:val="1"/>
      <w:marLeft w:val="0"/>
      <w:marRight w:val="0"/>
      <w:marTop w:val="0"/>
      <w:marBottom w:val="0"/>
      <w:divBdr>
        <w:top w:val="none" w:sz="0" w:space="0" w:color="auto"/>
        <w:left w:val="none" w:sz="0" w:space="0" w:color="auto"/>
        <w:bottom w:val="none" w:sz="0" w:space="0" w:color="auto"/>
        <w:right w:val="none" w:sz="0" w:space="0" w:color="auto"/>
      </w:divBdr>
    </w:div>
    <w:div w:id="1721247180">
      <w:bodyDiv w:val="1"/>
      <w:marLeft w:val="0"/>
      <w:marRight w:val="0"/>
      <w:marTop w:val="0"/>
      <w:marBottom w:val="0"/>
      <w:divBdr>
        <w:top w:val="none" w:sz="0" w:space="0" w:color="auto"/>
        <w:left w:val="none" w:sz="0" w:space="0" w:color="auto"/>
        <w:bottom w:val="none" w:sz="0" w:space="0" w:color="auto"/>
        <w:right w:val="none" w:sz="0" w:space="0" w:color="auto"/>
      </w:divBdr>
    </w:div>
    <w:div w:id="1730030143">
      <w:bodyDiv w:val="1"/>
      <w:marLeft w:val="0"/>
      <w:marRight w:val="0"/>
      <w:marTop w:val="0"/>
      <w:marBottom w:val="0"/>
      <w:divBdr>
        <w:top w:val="none" w:sz="0" w:space="0" w:color="auto"/>
        <w:left w:val="none" w:sz="0" w:space="0" w:color="auto"/>
        <w:bottom w:val="none" w:sz="0" w:space="0" w:color="auto"/>
        <w:right w:val="none" w:sz="0" w:space="0" w:color="auto"/>
      </w:divBdr>
    </w:div>
    <w:div w:id="1794521837">
      <w:bodyDiv w:val="1"/>
      <w:marLeft w:val="0"/>
      <w:marRight w:val="0"/>
      <w:marTop w:val="0"/>
      <w:marBottom w:val="0"/>
      <w:divBdr>
        <w:top w:val="none" w:sz="0" w:space="0" w:color="auto"/>
        <w:left w:val="none" w:sz="0" w:space="0" w:color="auto"/>
        <w:bottom w:val="none" w:sz="0" w:space="0" w:color="auto"/>
        <w:right w:val="none" w:sz="0" w:space="0" w:color="auto"/>
      </w:divBdr>
    </w:div>
    <w:div w:id="1830554147">
      <w:bodyDiv w:val="1"/>
      <w:marLeft w:val="0"/>
      <w:marRight w:val="0"/>
      <w:marTop w:val="0"/>
      <w:marBottom w:val="0"/>
      <w:divBdr>
        <w:top w:val="none" w:sz="0" w:space="0" w:color="auto"/>
        <w:left w:val="none" w:sz="0" w:space="0" w:color="auto"/>
        <w:bottom w:val="none" w:sz="0" w:space="0" w:color="auto"/>
        <w:right w:val="none" w:sz="0" w:space="0" w:color="auto"/>
      </w:divBdr>
      <w:divsChild>
        <w:div w:id="606236389">
          <w:marLeft w:val="45"/>
          <w:marRight w:val="45"/>
          <w:marTop w:val="45"/>
          <w:marBottom w:val="600"/>
          <w:divBdr>
            <w:top w:val="single" w:sz="6" w:space="2" w:color="CCCCCC"/>
            <w:left w:val="single" w:sz="6" w:space="2" w:color="CCCCCC"/>
            <w:bottom w:val="single" w:sz="6" w:space="8" w:color="CCCCCC"/>
            <w:right w:val="single" w:sz="6" w:space="2" w:color="CCCCCC"/>
          </w:divBdr>
          <w:divsChild>
            <w:div w:id="1505901056">
              <w:marLeft w:val="0"/>
              <w:marRight w:val="0"/>
              <w:marTop w:val="0"/>
              <w:marBottom w:val="0"/>
              <w:divBdr>
                <w:top w:val="none" w:sz="0" w:space="0" w:color="auto"/>
                <w:left w:val="none" w:sz="0" w:space="0" w:color="auto"/>
                <w:bottom w:val="none" w:sz="0" w:space="0" w:color="auto"/>
                <w:right w:val="none" w:sz="0" w:space="0" w:color="auto"/>
              </w:divBdr>
              <w:divsChild>
                <w:div w:id="40857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0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5"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circabc.europa.eu/w/browse/e379dc27-a2cc-46c2-8fbb-46c89d84b73d" TargetMode="External"/><Relationship Id="rId7" Type="http://schemas.openxmlformats.org/officeDocument/2006/relationships/hyperlink" Target="https://circabc.europa.eu/w/browse/1a25de8b-9e4e-49a2-99fa-98eae982c843" TargetMode="External"/><Relationship Id="rId2" Type="http://schemas.openxmlformats.org/officeDocument/2006/relationships/hyperlink" Target="https://circabc.europa.eu/w/browse/c309ae58-bdd7-421d-a678-8d8ac361d4e0" TargetMode="External"/><Relationship Id="rId1" Type="http://schemas.openxmlformats.org/officeDocument/2006/relationships/hyperlink" Target="http://eur-lex.europa.eu/eli/reg_del/2017/2100/oj" TargetMode="External"/><Relationship Id="rId6" Type="http://schemas.openxmlformats.org/officeDocument/2006/relationships/hyperlink" Target="https://echa.europa.eu/documents/10162/23036412/bpr_guidance_ra_vol_iv_part_b-c_en.pdf" TargetMode="External"/><Relationship Id="rId5" Type="http://schemas.openxmlformats.org/officeDocument/2006/relationships/hyperlink" Target="https://echa.europa.eu/guidance-documents/guidance-on-biocides-legislation" TargetMode="External"/><Relationship Id="rId4" Type="http://schemas.openxmlformats.org/officeDocument/2006/relationships/hyperlink" Target="https://circabc.europa.eu/w/browse/158919d8-516a-4f5d-b458-f9a03e65178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ECHA Process Document" ma:contentTypeID="0x010100B558917389A54ADDB58930FBD7E6FD57008586DED9191B4C4CBD31A5DF7F304A710001257055F3338C4A919CDBAE69E8BD5B" ma:contentTypeVersion="16" ma:contentTypeDescription="Content type for ECHA process documents" ma:contentTypeScope="" ma:versionID="dd37af9ec7fbd43f0433cb4fa069d660">
  <xsd:schema xmlns:xsd="http://www.w3.org/2001/XMLSchema" xmlns:xs="http://www.w3.org/2001/XMLSchema" xmlns:p="http://schemas.microsoft.com/office/2006/metadata/properties" xmlns:ns2="5be2862c-9c7a-466a-8f6d-c278e82738e2" xmlns:ns3="5bcca709-0b09-4b74-bfa0-2137a84c1763" xmlns:ns4="d80dd6ab-43bf-4d9d-bb1e-742532452846" xmlns:ns5="b80ede5c-af4c-4bf2-9a87-706a3579dc11" targetNamespace="http://schemas.microsoft.com/office/2006/metadata/properties" ma:root="true" ma:fieldsID="f4dbafe92e695dbfb9d5236605c7150c" ns2:_="" ns3:_="" ns4:_="" ns5:_="">
    <xsd:import namespace="5be2862c-9c7a-466a-8f6d-c278e82738e2"/>
    <xsd:import namespace="5bcca709-0b09-4b74-bfa0-2137a84c1763"/>
    <xsd:import namespace="d80dd6ab-43bf-4d9d-bb1e-742532452846"/>
    <xsd:import namespace="b80ede5c-af4c-4bf2-9a87-706a3579dc11"/>
    <xsd:element name="properties">
      <xsd:complexType>
        <xsd:sequence>
          <xsd:element name="documentManagement">
            <xsd:complexType>
              <xsd:all>
                <xsd:element ref="ns3:_dlc_DocId" minOccurs="0"/>
                <xsd:element ref="ns3:_dlc_DocIdUrl" minOccurs="0"/>
                <xsd:element ref="ns3:_dlc_DocIdPersistId" minOccurs="0"/>
                <xsd:element ref="ns2:ECHADocumentTypeTaxHTField0" minOccurs="0"/>
                <xsd:element ref="ns4:TaxCatchAll" minOccurs="0"/>
                <xsd:element ref="ns5:TaxCatchAllLabel" minOccurs="0"/>
                <xsd:element ref="ns2:ECHASecClassTaxHTField0" minOccurs="0"/>
                <xsd:element ref="ns2:ECHAProcessTaxHTField0" minOccurs="0"/>
                <xsd:element ref="ns2:ECHACategory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e2862c-9c7a-466a-8f6d-c278e82738e2" elementFormDefault="qualified">
    <xsd:import namespace="http://schemas.microsoft.com/office/2006/documentManagement/types"/>
    <xsd:import namespace="http://schemas.microsoft.com/office/infopath/2007/PartnerControls"/>
    <xsd:element name="ECHADocumentTypeTaxHTField0" ma:index="11" nillable="true" ma:taxonomy="true" ma:internalName="gd32339cd0b5409a9fdb05f9583968bc" ma:taxonomyFieldName="ECHADocumentType" ma:displayName="Document type" ma:readOnly="false" ma:fieldId="{0d32339c-d0b5-409a-9fdb-05f9583968bc}" ma:sspId="5f69e26b-beb5-49c8-89f9-b5a0fae19f51" ma:termSetId="aedf82a2-407f-4791-945d-c1f392314e39" ma:anchorId="00000000-0000-0000-0000-000000000000" ma:open="false" ma:isKeyword="false">
      <xsd:complexType>
        <xsd:sequence>
          <xsd:element ref="pc:Terms" minOccurs="0" maxOccurs="1"/>
        </xsd:sequence>
      </xsd:complexType>
    </xsd:element>
    <xsd:element name="ECHASecClassTaxHTField0" ma:index="15" ma:taxonomy="true" ma:internalName="ab0eb6f132fb4a769815f72efb98c81d" ma:taxonomyFieldName="ECHASecClass" ma:displayName="Security classification" ma:default="1;#|a0307bc2-faf9-4068-8aeb-b713e4fa2a0f" ma:fieldId="{ab0eb6f1-32fb-4a76-9815-f72efb98c81d}" ma:sspId="5f69e26b-beb5-49c8-89f9-b5a0fae19f51" ma:termSetId="bdbfee88-fbc0-4b29-a996-994f751932c4" ma:anchorId="00000000-0000-0000-0000-000000000000" ma:open="false" ma:isKeyword="false">
      <xsd:complexType>
        <xsd:sequence>
          <xsd:element ref="pc:Terms" minOccurs="0" maxOccurs="1"/>
        </xsd:sequence>
      </xsd:complexType>
    </xsd:element>
    <xsd:element name="ECHAProcessTaxHTField0" ma:index="17" nillable="true" ma:taxonomy="true" ma:internalName="k79ecea8bd3e48279038bf7156c8359b" ma:taxonomyFieldName="ECHAProcess" ma:displayName="Process" ma:readOnly="false" ma:fieldId="{479ecea8-bd3e-4827-9038-bf7156c8359b}" ma:sspId="5f69e26b-beb5-49c8-89f9-b5a0fae19f51" ma:termSetId="c30def1a-2ee0-45a9-b531-f691ecbc3c44" ma:anchorId="00000000-0000-0000-0000-000000000000" ma:open="false" ma:isKeyword="false">
      <xsd:complexType>
        <xsd:sequence>
          <xsd:element ref="pc:Terms" minOccurs="0" maxOccurs="1"/>
        </xsd:sequence>
      </xsd:complexType>
    </xsd:element>
    <xsd:element name="ECHACategoryTaxHTField0" ma:index="19" nillable="true" ma:taxonomy="true" ma:internalName="p86653fd247d4255942aa31697ef2e78" ma:taxonomyFieldName="ECHACategory" ma:displayName="Category" ma:readOnly="false" ma:default="" ma:fieldId="{986653fd-247d-4255-942a-a31697ef2e78}" ma:sspId="5f69e26b-beb5-49c8-89f9-b5a0fae19f51" ma:termSetId="55e7dc03-f0a2-4416-8b3b-39dffa2b388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ca709-0b09-4b74-bfa0-2137a84c176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0dd6ab-43bf-4d9d-bb1e-742532452846"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214db2d2-f1ed-4c58-8539-ffd4e5068399}" ma:internalName="TaxCatchAll" ma:showField="CatchAllData" ma:web="d80dd6ab-43bf-4d9d-bb1e-74253245284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80ede5c-af4c-4bf2-9a87-706a3579dc11" elementFormDefault="qualified">
    <xsd:import namespace="http://schemas.microsoft.com/office/2006/documentManagement/types"/>
    <xsd:import namespace="http://schemas.microsoft.com/office/infopath/2007/PartnerControls"/>
    <xsd:element name="TaxCatchAllLabel" ma:index="13" nillable="true" ma:displayName="Taxonomy Catch All Column1" ma:description="" ma:hidden="true" ma:list="{8da9f775-fdf3-4d14-99ae-8f8e0cbfc351}" ma:internalName="TaxCatchAllLabel" ma:readOnly="true" ma:showField="CatchAllDataLabel" ma:web="a3c34eed-3ef9-4750-993f-44a2ccbf16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ECHADocumentTypeTaxHTField0 xmlns="5be2862c-9c7a-466a-8f6d-c278e82738e2">
      <Terms xmlns="http://schemas.microsoft.com/office/infopath/2007/PartnerControls"/>
    </ECHADocumentTypeTaxHTField0>
    <ECHASecClassTaxHTField0 xmlns="5be2862c-9c7a-466a-8f6d-c278e82738e2">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a0307bc2-faf9-4068-8aeb-b713e4fa2a0f</TermId>
        </TermInfo>
      </Terms>
    </ECHASecClassTaxHTField0>
    <ECHACategoryTaxHTField0 xmlns="5be2862c-9c7a-466a-8f6d-c278e82738e2">
      <Terms xmlns="http://schemas.microsoft.com/office/infopath/2007/PartnerControls"/>
    </ECHACategoryTaxHTField0>
    <ECHAProcessTaxHTField0 xmlns="5be2862c-9c7a-466a-8f6d-c278e82738e2">
      <Terms xmlns="http://schemas.microsoft.com/office/infopath/2007/PartnerControls">
        <TermInfo xmlns="http://schemas.microsoft.com/office/infopath/2007/PartnerControls">
          <TermName xmlns="http://schemas.microsoft.com/office/infopath/2007/PartnerControls">16.01 Active substance approval</TermName>
          <TermId xmlns="http://schemas.microsoft.com/office/infopath/2007/PartnerControls">66aa23eb-02d1-4d9a-8830-a04d84e98a70</TermId>
        </TermInfo>
      </Terms>
    </ECHAProcessTaxHTField0>
    <TaxCatchAll xmlns="d80dd6ab-43bf-4d9d-bb1e-742532452846">
      <Value>2</Value>
      <Value>1</Value>
    </TaxCatchAll>
    <_dlc_DocId xmlns="5bcca709-0b09-4b74-bfa0-2137a84c1763">ACTV16-15-44382</_dlc_DocId>
    <_dlc_DocIdUrl xmlns="5bcca709-0b09-4b74-bfa0-2137a84c1763">
      <Url>https://activity.echa.europa.eu/sites/act-16/process-16-1/_layouts/DocIdRedir.aspx?ID=ACTV16-15-44382</Url>
      <Description>ACTV16-15-44382</Description>
    </_dlc_DocIdUrl>
  </documentManagement>
</p:properties>
</file>

<file path=customXml/item6.xml><?xml version="1.0" encoding="utf-8"?>
<?mso-contentType ?>
<SharedContentType xmlns="Microsoft.SharePoint.Taxonomy.ContentTypeSync" SourceId="5f69e26b-beb5-49c8-89f9-b5a0fae19f51" ContentTypeId="0x010100B558917389A54ADDB58930FBD7E6FD57008586DED9191B4C4CBD31A5DF7F304A71"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346D9-D596-4165-A93D-61F6C5A94556}">
  <ds:schemaRefs>
    <ds:schemaRef ds:uri="http://schemas.microsoft.com/office/2006/metadata/longProperties"/>
  </ds:schemaRefs>
</ds:datastoreItem>
</file>

<file path=customXml/itemProps2.xml><?xml version="1.0" encoding="utf-8"?>
<ds:datastoreItem xmlns:ds="http://schemas.openxmlformats.org/officeDocument/2006/customXml" ds:itemID="{6685A2D2-A769-4877-8EED-D095D5D10F6A}">
  <ds:schemaRefs>
    <ds:schemaRef ds:uri="http://schemas.microsoft.com/sharepoint/v3/contenttype/forms"/>
  </ds:schemaRefs>
</ds:datastoreItem>
</file>

<file path=customXml/itemProps3.xml><?xml version="1.0" encoding="utf-8"?>
<ds:datastoreItem xmlns:ds="http://schemas.openxmlformats.org/officeDocument/2006/customXml" ds:itemID="{05EBDC9E-F5FC-42AB-80F7-36A1CBC2728E}">
  <ds:schemaRefs>
    <ds:schemaRef ds:uri="http://schemas.microsoft.com/sharepoint/events"/>
  </ds:schemaRefs>
</ds:datastoreItem>
</file>

<file path=customXml/itemProps4.xml><?xml version="1.0" encoding="utf-8"?>
<ds:datastoreItem xmlns:ds="http://schemas.openxmlformats.org/officeDocument/2006/customXml" ds:itemID="{B5ECFB49-8B51-439E-9F20-68BFD09A3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e2862c-9c7a-466a-8f6d-c278e82738e2"/>
    <ds:schemaRef ds:uri="5bcca709-0b09-4b74-bfa0-2137a84c1763"/>
    <ds:schemaRef ds:uri="d80dd6ab-43bf-4d9d-bb1e-742532452846"/>
    <ds:schemaRef ds:uri="b80ede5c-af4c-4bf2-9a87-706a3579d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057748A-D484-4408-8863-0368E1819210}">
  <ds:schemaRefs>
    <ds:schemaRef ds:uri="http://schemas.microsoft.com/office/2006/metadata/properties"/>
    <ds:schemaRef ds:uri="http://schemas.microsoft.com/office/2006/documentManagement/types"/>
    <ds:schemaRef ds:uri="b80ede5c-af4c-4bf2-9a87-706a3579dc11"/>
    <ds:schemaRef ds:uri="http://schemas.openxmlformats.org/package/2006/metadata/core-properties"/>
    <ds:schemaRef ds:uri="http://schemas.microsoft.com/office/infopath/2007/PartnerControls"/>
    <ds:schemaRef ds:uri="d80dd6ab-43bf-4d9d-bb1e-742532452846"/>
    <ds:schemaRef ds:uri="http://purl.org/dc/elements/1.1/"/>
    <ds:schemaRef ds:uri="http://www.w3.org/XML/1998/namespace"/>
    <ds:schemaRef ds:uri="http://purl.org/dc/dcmitype/"/>
    <ds:schemaRef ds:uri="5bcca709-0b09-4b74-bfa0-2137a84c1763"/>
    <ds:schemaRef ds:uri="5be2862c-9c7a-466a-8f6d-c278e82738e2"/>
    <ds:schemaRef ds:uri="http://purl.org/dc/terms/"/>
  </ds:schemaRefs>
</ds:datastoreItem>
</file>

<file path=customXml/itemProps6.xml><?xml version="1.0" encoding="utf-8"?>
<ds:datastoreItem xmlns:ds="http://schemas.openxmlformats.org/officeDocument/2006/customXml" ds:itemID="{D370EBFD-BF99-4E57-80E2-9A067C3054EB}">
  <ds:schemaRefs>
    <ds:schemaRef ds:uri="Microsoft.SharePoint.Taxonomy.ContentTypeSync"/>
  </ds:schemaRefs>
</ds:datastoreItem>
</file>

<file path=customXml/itemProps7.xml><?xml version="1.0" encoding="utf-8"?>
<ds:datastoreItem xmlns:ds="http://schemas.openxmlformats.org/officeDocument/2006/customXml" ds:itemID="{09DB30FC-8520-44E1-9EB8-BBC181FA2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NOT.DOTM</Template>
  <TotalTime>1</TotalTime>
  <Pages>12</Pages>
  <Words>4271</Words>
  <Characters>22526</Characters>
  <Application>Microsoft Office Word</Application>
  <DocSecurity>0</DocSecurity>
  <Lines>187</Lines>
  <Paragraphs>53</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
      <vt:lpstr/>
      <vt:lpstr> </vt:lpstr>
    </vt:vector>
  </TitlesOfParts>
  <Company>European Commission</Company>
  <LinksUpToDate>false</LinksUpToDate>
  <CharactersWithSpaces>26744</CharactersWithSpaces>
  <SharedDoc>false</SharedDoc>
  <HLinks>
    <vt:vector size="30" baseType="variant">
      <vt:variant>
        <vt:i4>2949161</vt:i4>
      </vt:variant>
      <vt:variant>
        <vt:i4>12</vt:i4>
      </vt:variant>
      <vt:variant>
        <vt:i4>0</vt:i4>
      </vt:variant>
      <vt:variant>
        <vt:i4>5</vt:i4>
      </vt:variant>
      <vt:variant>
        <vt:lpwstr>https://circabc.europa.eu/w/browse/1a25de8b-9e4e-49a2-99fa-98eae982c843</vt:lpwstr>
      </vt:variant>
      <vt:variant>
        <vt:lpwstr/>
      </vt:variant>
      <vt:variant>
        <vt:i4>3211309</vt:i4>
      </vt:variant>
      <vt:variant>
        <vt:i4>9</vt:i4>
      </vt:variant>
      <vt:variant>
        <vt:i4>0</vt:i4>
      </vt:variant>
      <vt:variant>
        <vt:i4>5</vt:i4>
      </vt:variant>
      <vt:variant>
        <vt:lpwstr>https://www.echa.europa.eu/documents/10162/13643/bpr_guidance_vol-iv_env_part_bc_draft_peg_en.pdf/db22e136-0142-a4f4-fcc4-b1a8b1aaf2f7</vt:lpwstr>
      </vt:variant>
      <vt:variant>
        <vt:lpwstr/>
      </vt:variant>
      <vt:variant>
        <vt:i4>786481</vt:i4>
      </vt:variant>
      <vt:variant>
        <vt:i4>6</vt:i4>
      </vt:variant>
      <vt:variant>
        <vt:i4>0</vt:i4>
      </vt:variant>
      <vt:variant>
        <vt:i4>5</vt:i4>
      </vt:variant>
      <vt:variant>
        <vt:lpwstr>https://echa.europa.eu/documents/10162/15623299/biocides_guidance_human_health_ra_iii_partb_en.pdf/1bd0abea-ed28-4204-8b15-e062063c0077</vt:lpwstr>
      </vt:variant>
      <vt:variant>
        <vt:lpwstr/>
      </vt:variant>
      <vt:variant>
        <vt:i4>2621474</vt:i4>
      </vt:variant>
      <vt:variant>
        <vt:i4>3</vt:i4>
      </vt:variant>
      <vt:variant>
        <vt:i4>0</vt:i4>
      </vt:variant>
      <vt:variant>
        <vt:i4>5</vt:i4>
      </vt:variant>
      <vt:variant>
        <vt:lpwstr>https://circabc.europa.eu/w/browse/e379dc27-a2cc-46c2-8fbb-46c89d84b73d</vt:lpwstr>
      </vt:variant>
      <vt:variant>
        <vt:lpwstr/>
      </vt:variant>
      <vt:variant>
        <vt:i4>2097203</vt:i4>
      </vt:variant>
      <vt:variant>
        <vt:i4>0</vt:i4>
      </vt:variant>
      <vt:variant>
        <vt:i4>0</vt:i4>
      </vt:variant>
      <vt:variant>
        <vt:i4>5</vt:i4>
      </vt:variant>
      <vt:variant>
        <vt:lpwstr>http://ec.europa.eu/health/endocrine_disruptors/policy/index_en.htm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NAGTZAAM Martinus (SANCO)</dc:creator>
  <cp:lastModifiedBy>NAGTZAAM Martinus (SANCO)</cp:lastModifiedBy>
  <cp:revision>2</cp:revision>
  <cp:lastPrinted>2018-03-02T14:53:00Z</cp:lastPrinted>
  <dcterms:created xsi:type="dcterms:W3CDTF">2018-03-23T11:39:00Z</dcterms:created>
  <dcterms:modified xsi:type="dcterms:W3CDTF">2018-03-23T11:39:00Z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4.1.6.3</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[20070312]</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Johanna BERNSEL</vt:lpwstr>
  </property>
  <property fmtid="{D5CDD505-2E9C-101B-9397-08002B2CF9AE}" pid="9" name="Type">
    <vt:lpwstr>Eurolook Note &amp; Letter</vt:lpwstr>
  </property>
  <property fmtid="{D5CDD505-2E9C-101B-9397-08002B2CF9AE}" pid="10" name="Language">
    <vt:lpwstr>EN</vt:lpwstr>
  </property>
  <property fmtid="{D5CDD505-2E9C-101B-9397-08002B2CF9AE}" pid="11" name="EL_Language">
    <vt:lpwstr>EN</vt:lpwstr>
  </property>
  <property fmtid="{D5CDD505-2E9C-101B-9397-08002B2CF9AE}" pid="12" name="ELDocType">
    <vt:lpwstr>not.dot</vt:lpwstr>
  </property>
  <property fmtid="{D5CDD505-2E9C-101B-9397-08002B2CF9AE}" pid="13" name="_NewReviewCycle">
    <vt:lpwstr/>
  </property>
  <property fmtid="{D5CDD505-2E9C-101B-9397-08002B2CF9AE}" pid="14" name="ECHASecClass">
    <vt:lpwstr>1;#Internal|a0307bc2-faf9-4068-8aeb-b713e4fa2a0f</vt:lpwstr>
  </property>
  <property fmtid="{D5CDD505-2E9C-101B-9397-08002B2CF9AE}" pid="15" name="ECHADocumentType">
    <vt:lpwstr/>
  </property>
  <property fmtid="{D5CDD505-2E9C-101B-9397-08002B2CF9AE}" pid="16" name="ECHAProcess">
    <vt:lpwstr>2;#16.01 Active substance approval|66aa23eb-02d1-4d9a-8830-a04d84e98a70</vt:lpwstr>
  </property>
  <property fmtid="{D5CDD505-2E9C-101B-9397-08002B2CF9AE}" pid="17" name="ECHACategory">
    <vt:lpwstr/>
  </property>
  <property fmtid="{D5CDD505-2E9C-101B-9397-08002B2CF9AE}" pid="18" name="_dlc_DocId">
    <vt:lpwstr>ACTV16-23-3330</vt:lpwstr>
  </property>
  <property fmtid="{D5CDD505-2E9C-101B-9397-08002B2CF9AE}" pid="19" name="_dlc_DocIdItemGuid">
    <vt:lpwstr>bc8a0134-3544-4c79-92ec-f1dfaed2a935</vt:lpwstr>
  </property>
  <property fmtid="{D5CDD505-2E9C-101B-9397-08002B2CF9AE}" pid="20" name="_dlc_DocIdUrl">
    <vt:lpwstr>https://activity.echa.europa.eu/sites/act-16/process-16-10/_layouts/DocIdRedir.aspx?ID=ACTV16-23-3330, ACTV16-23-3330</vt:lpwstr>
  </property>
  <property fmtid="{D5CDD505-2E9C-101B-9397-08002B2CF9AE}" pid="21" name="ContentTypeId">
    <vt:lpwstr>0x010100B558917389A54ADDB58930FBD7E6FD57008586DED9191B4C4CBD31A5DF7F304A710001257055F3338C4A919CDBAE69E8BD5B</vt:lpwstr>
  </property>
</Properties>
</file>